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F9" w:rsidRPr="00921281" w:rsidRDefault="002471F9" w:rsidP="002471F9">
      <w:pPr>
        <w:rPr>
          <w:b/>
        </w:rPr>
      </w:pPr>
      <w:r w:rsidRPr="00921281">
        <w:rPr>
          <w:b/>
        </w:rPr>
        <w:t>AKTUALNY MONTAŻ FINANSOWY</w:t>
      </w:r>
    </w:p>
    <w:p w:rsidR="002471F9" w:rsidRPr="00962921" w:rsidRDefault="002471F9" w:rsidP="002471F9">
      <w:pPr>
        <w:pStyle w:val="NormalnyWeb"/>
        <w:rPr>
          <w:rFonts w:ascii="Arial Narrow" w:hAnsi="Arial Narrow"/>
        </w:rPr>
      </w:pPr>
      <w:r w:rsidRPr="00962921">
        <w:rPr>
          <w:rFonts w:ascii="Arial Narrow" w:hAnsi="Arial Narrow"/>
          <w:i/>
        </w:rPr>
        <w:t xml:space="preserve"> </w:t>
      </w:r>
      <w:r w:rsidRPr="00962921">
        <w:rPr>
          <w:rFonts w:ascii="Arial Narrow" w:hAnsi="Arial Narrow"/>
        </w:rPr>
        <w:t xml:space="preserve">Łączna wartość kosztów całkowitych projektu wynosi </w:t>
      </w:r>
      <w:r w:rsidRPr="00962921">
        <w:rPr>
          <w:rFonts w:ascii="Arial Narrow" w:hAnsi="Arial Narrow"/>
          <w:b/>
          <w:bCs/>
        </w:rPr>
        <w:t>112 292 675,00 zł</w:t>
      </w:r>
      <w:r w:rsidRPr="00962921">
        <w:rPr>
          <w:rFonts w:ascii="Arial Narrow" w:hAnsi="Arial Narrow"/>
        </w:rPr>
        <w:t xml:space="preserve">, z czego </w:t>
      </w:r>
      <w:r w:rsidRPr="00962921">
        <w:rPr>
          <w:rFonts w:ascii="Arial Narrow" w:hAnsi="Arial Narrow"/>
          <w:b/>
          <w:bCs/>
        </w:rPr>
        <w:t>112 135 435,00 zł</w:t>
      </w:r>
      <w:r w:rsidRPr="00962921">
        <w:rPr>
          <w:rFonts w:ascii="Arial Narrow" w:hAnsi="Arial Narrow"/>
        </w:rPr>
        <w:t xml:space="preserve"> ma charakter kosztów kwalifikowalnych.</w:t>
      </w:r>
    </w:p>
    <w:p w:rsidR="002471F9" w:rsidRPr="00962921" w:rsidRDefault="002471F9" w:rsidP="002471F9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962921">
        <w:rPr>
          <w:rFonts w:eastAsia="Times New Roman" w:cs="Times New Roman"/>
          <w:lang w:eastAsia="pl-PL"/>
        </w:rPr>
        <w:t xml:space="preserve">Dofinansowanie projektu wynosi </w:t>
      </w:r>
      <w:r w:rsidRPr="00962921">
        <w:rPr>
          <w:rFonts w:eastAsia="Times New Roman" w:cs="Times New Roman"/>
          <w:b/>
          <w:bCs/>
          <w:lang w:eastAsia="pl-PL"/>
        </w:rPr>
        <w:t xml:space="preserve">83 610 759,97 zł </w:t>
      </w:r>
      <w:r w:rsidRPr="00962921">
        <w:rPr>
          <w:rFonts w:eastAsia="Times New Roman" w:cs="Times New Roman"/>
          <w:lang w:eastAsia="pl-PL"/>
        </w:rPr>
        <w:t xml:space="preserve">i stanowi nie więcej niż </w:t>
      </w:r>
      <w:r w:rsidRPr="00962921">
        <w:rPr>
          <w:rFonts w:eastAsia="Times New Roman" w:cs="Times New Roman"/>
          <w:b/>
          <w:bCs/>
          <w:lang w:eastAsia="pl-PL"/>
        </w:rPr>
        <w:t xml:space="preserve">74,57 % </w:t>
      </w:r>
      <w:r w:rsidRPr="00962921">
        <w:rPr>
          <w:rFonts w:eastAsia="Times New Roman" w:cs="Times New Roman"/>
          <w:lang w:eastAsia="pl-PL"/>
        </w:rPr>
        <w:t>kosztów kwalifikowalnych.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3076"/>
      </w:tblGrid>
      <w:tr w:rsidR="002471F9" w:rsidRPr="00962921" w:rsidTr="000754B2">
        <w:trPr>
          <w:tblCellSpacing w:w="15" w:type="dxa"/>
        </w:trPr>
        <w:tc>
          <w:tcPr>
            <w:tcW w:w="6015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Nazwa źródła finansowania</w:t>
            </w:r>
          </w:p>
        </w:tc>
        <w:tc>
          <w:tcPr>
            <w:tcW w:w="3060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Wydatki ogółem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(PLN)</w:t>
            </w:r>
          </w:p>
        </w:tc>
      </w:tr>
      <w:tr w:rsidR="002471F9" w:rsidRPr="00962921" w:rsidTr="000754B2">
        <w:trPr>
          <w:tblCellSpacing w:w="15" w:type="dxa"/>
        </w:trPr>
        <w:tc>
          <w:tcPr>
            <w:tcW w:w="6015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1. Środki wspólnotowe</w:t>
            </w:r>
          </w:p>
        </w:tc>
        <w:tc>
          <w:tcPr>
            <w:tcW w:w="3060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74 423 999,97</w:t>
            </w:r>
          </w:p>
        </w:tc>
      </w:tr>
      <w:tr w:rsidR="002471F9" w:rsidRPr="00962921" w:rsidTr="000754B2">
        <w:trPr>
          <w:tblCellSpacing w:w="15" w:type="dxa"/>
        </w:trPr>
        <w:tc>
          <w:tcPr>
            <w:tcW w:w="6015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2. Krajowe środki publiczne, w tym: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- środki z budżetu państwa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- dotacja z budżetu Województwa Lubuskiego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- wkład własny Szpitala</w:t>
            </w:r>
          </w:p>
        </w:tc>
        <w:tc>
          <w:tcPr>
            <w:tcW w:w="3060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37 868 675,03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  9 186 760,00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25 965 349,81</w:t>
            </w:r>
          </w:p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  2 716 565,22</w:t>
            </w:r>
          </w:p>
        </w:tc>
      </w:tr>
      <w:tr w:rsidR="002471F9" w:rsidRPr="00962921" w:rsidTr="000754B2">
        <w:trPr>
          <w:tblCellSpacing w:w="15" w:type="dxa"/>
        </w:trPr>
        <w:tc>
          <w:tcPr>
            <w:tcW w:w="6015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lang w:eastAsia="pl-PL"/>
              </w:rPr>
              <w:t>RAZEM</w:t>
            </w:r>
          </w:p>
        </w:tc>
        <w:tc>
          <w:tcPr>
            <w:tcW w:w="3060" w:type="dxa"/>
            <w:vAlign w:val="center"/>
            <w:hideMark/>
          </w:tcPr>
          <w:p w:rsidR="002471F9" w:rsidRPr="00962921" w:rsidRDefault="002471F9" w:rsidP="000754B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2921">
              <w:rPr>
                <w:rFonts w:eastAsia="Times New Roman" w:cs="Times New Roman"/>
                <w:b/>
                <w:bCs/>
                <w:lang w:eastAsia="pl-PL"/>
              </w:rPr>
              <w:t>112 292 675,00</w:t>
            </w:r>
          </w:p>
        </w:tc>
      </w:tr>
    </w:tbl>
    <w:p w:rsidR="002471F9" w:rsidRPr="00962921" w:rsidRDefault="002471F9" w:rsidP="002471F9">
      <w:pPr>
        <w:rPr>
          <w:i/>
        </w:rPr>
      </w:pPr>
    </w:p>
    <w:p w:rsidR="001F2425" w:rsidRDefault="001F2425">
      <w:bookmarkStart w:id="0" w:name="_GoBack"/>
      <w:bookmarkEnd w:id="0"/>
    </w:p>
    <w:sectPr w:rsidR="001F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16"/>
    <w:rsid w:val="001F2425"/>
    <w:rsid w:val="002471F9"/>
    <w:rsid w:val="0034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B58C-53CD-4BF4-8043-A6FB091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1F9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71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Mikułko-Kozłowska Tatiana</dc:creator>
  <cp:keywords/>
  <dc:description/>
  <cp:lastModifiedBy>Mikułko-Kozłowska Tatiana</cp:lastModifiedBy>
  <cp:revision>2</cp:revision>
  <dcterms:created xsi:type="dcterms:W3CDTF">2020-08-05T11:08:00Z</dcterms:created>
  <dcterms:modified xsi:type="dcterms:W3CDTF">2020-08-05T11:08:00Z</dcterms:modified>
</cp:coreProperties>
</file>