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ECB6" w14:textId="71F5FBF3" w:rsidR="00AB6311" w:rsidRPr="002173B0" w:rsidRDefault="00324B1E" w:rsidP="00E443F5">
      <w:pPr>
        <w:jc w:val="center"/>
        <w:rPr>
          <w:rFonts w:ascii="Arial" w:hAnsi="Arial" w:cs="Arial"/>
          <w:b/>
          <w:sz w:val="24"/>
          <w:szCs w:val="24"/>
        </w:rPr>
      </w:pPr>
      <w:r w:rsidRPr="002173B0">
        <w:rPr>
          <w:rFonts w:ascii="Arial" w:hAnsi="Arial" w:cs="Arial"/>
          <w:b/>
          <w:sz w:val="24"/>
          <w:szCs w:val="24"/>
        </w:rPr>
        <w:t>Miejskie Obszary Funkcjonalne</w:t>
      </w:r>
      <w:r w:rsidR="000C0D9D" w:rsidRPr="002173B0">
        <w:rPr>
          <w:rFonts w:ascii="Arial" w:hAnsi="Arial" w:cs="Arial"/>
          <w:b/>
          <w:sz w:val="24"/>
          <w:szCs w:val="24"/>
        </w:rPr>
        <w:t xml:space="preserve"> i partnerstwa</w:t>
      </w:r>
    </w:p>
    <w:p w14:paraId="0419F075" w14:textId="11321AAC" w:rsidR="00056D78" w:rsidRPr="002173B0" w:rsidRDefault="00324B1E" w:rsidP="00E443F5">
      <w:pPr>
        <w:jc w:val="center"/>
        <w:rPr>
          <w:rFonts w:ascii="Arial" w:hAnsi="Arial" w:cs="Arial"/>
          <w:b/>
          <w:sz w:val="24"/>
          <w:szCs w:val="24"/>
        </w:rPr>
      </w:pPr>
      <w:r w:rsidRPr="002173B0">
        <w:rPr>
          <w:rFonts w:ascii="Arial" w:hAnsi="Arial" w:cs="Arial"/>
          <w:b/>
          <w:sz w:val="24"/>
          <w:szCs w:val="24"/>
        </w:rPr>
        <w:t xml:space="preserve">w projekcie </w:t>
      </w:r>
      <w:r w:rsidR="00AB6311" w:rsidRPr="002173B0">
        <w:rPr>
          <w:rFonts w:ascii="Arial" w:hAnsi="Arial" w:cs="Arial"/>
          <w:b/>
          <w:sz w:val="24"/>
          <w:szCs w:val="24"/>
        </w:rPr>
        <w:t xml:space="preserve">3.0. </w:t>
      </w:r>
      <w:r w:rsidRPr="002173B0">
        <w:rPr>
          <w:rFonts w:ascii="Arial" w:hAnsi="Arial" w:cs="Arial"/>
          <w:b/>
          <w:sz w:val="24"/>
          <w:szCs w:val="24"/>
        </w:rPr>
        <w:t>Strategii Rozwoju Województwa Lubuskiego 2030</w:t>
      </w:r>
    </w:p>
    <w:p w14:paraId="722A6396" w14:textId="77777777" w:rsidR="00D22039" w:rsidRPr="002173B0" w:rsidRDefault="00D22039" w:rsidP="002173B0">
      <w:pPr>
        <w:jc w:val="both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hAnsi="Arial" w:cs="Arial"/>
          <w:sz w:val="24"/>
          <w:szCs w:val="24"/>
          <w:u w:val="single"/>
        </w:rPr>
        <w:t>Miejskie obszary funkcjonalne ośrodków wojewódzkich:</w:t>
      </w:r>
    </w:p>
    <w:p w14:paraId="5F3B5C57" w14:textId="77777777" w:rsidR="00324B1E" w:rsidRPr="002173B0" w:rsidRDefault="00324B1E" w:rsidP="002173B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b/>
          <w:sz w:val="24"/>
          <w:szCs w:val="24"/>
        </w:rPr>
        <w:t>MOF OW Gorzów Wielkopolski</w:t>
      </w:r>
      <w:r w:rsidRPr="002173B0">
        <w:rPr>
          <w:rFonts w:ascii="Arial" w:hAnsi="Arial" w:cs="Arial"/>
          <w:sz w:val="24"/>
          <w:szCs w:val="24"/>
        </w:rPr>
        <w:t xml:space="preserve"> –  obejmuje miasto Gorzów </w:t>
      </w:r>
      <w:proofErr w:type="spellStart"/>
      <w:r w:rsidRPr="002173B0">
        <w:rPr>
          <w:rFonts w:ascii="Arial" w:hAnsi="Arial" w:cs="Arial"/>
          <w:sz w:val="24"/>
          <w:szCs w:val="24"/>
        </w:rPr>
        <w:t>Wlkp</w:t>
      </w:r>
      <w:proofErr w:type="spellEnd"/>
      <w:r w:rsidRPr="002173B0">
        <w:rPr>
          <w:rFonts w:ascii="Arial" w:hAnsi="Arial" w:cs="Arial"/>
          <w:sz w:val="24"/>
          <w:szCs w:val="24"/>
        </w:rPr>
        <w:t xml:space="preserve"> oraz gminy: Deszczno, Kłodawa, Santok, Bogdaniec, Lubiszyn i Strzelce Krajeńskie. </w:t>
      </w:r>
    </w:p>
    <w:p w14:paraId="03525059" w14:textId="04CF9031" w:rsidR="00324B1E" w:rsidRPr="002173B0" w:rsidRDefault="00324B1E" w:rsidP="002173B0">
      <w:pPr>
        <w:pStyle w:val="Akapitzlist"/>
        <w:ind w:left="357"/>
        <w:jc w:val="both"/>
        <w:rPr>
          <w:rFonts w:ascii="Arial" w:hAnsi="Arial" w:cs="Arial"/>
          <w:i/>
          <w:sz w:val="24"/>
          <w:szCs w:val="24"/>
        </w:rPr>
      </w:pPr>
      <w:r w:rsidRPr="002173B0">
        <w:rPr>
          <w:rFonts w:ascii="Arial" w:hAnsi="Arial" w:cs="Arial"/>
          <w:i/>
          <w:sz w:val="24"/>
          <w:szCs w:val="24"/>
        </w:rPr>
        <w:t>Z nieoficjalnych informacji wynika, że trwają również rozmowy dot. inicjatywy rozszerzenia MOF- u o gminę Skwierzyna.</w:t>
      </w:r>
    </w:p>
    <w:p w14:paraId="07E1188A" w14:textId="77777777" w:rsidR="00A8453B" w:rsidRPr="002173B0" w:rsidRDefault="00324B1E" w:rsidP="002173B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i/>
          <w:sz w:val="24"/>
          <w:szCs w:val="24"/>
        </w:rPr>
      </w:pPr>
      <w:r w:rsidRPr="002173B0">
        <w:rPr>
          <w:rFonts w:ascii="Arial" w:hAnsi="Arial" w:cs="Arial"/>
          <w:b/>
          <w:sz w:val="24"/>
          <w:szCs w:val="24"/>
        </w:rPr>
        <w:t>MOF OW Zielonogórsko-Nowosolski</w:t>
      </w:r>
      <w:r w:rsidRPr="002173B0">
        <w:rPr>
          <w:rFonts w:ascii="Arial" w:hAnsi="Arial" w:cs="Arial"/>
          <w:sz w:val="24"/>
          <w:szCs w:val="24"/>
        </w:rPr>
        <w:t xml:space="preserve"> – obejmuje miasta Zielona Góra oraz Nowa Sól oraz gminy Sulech</w:t>
      </w:r>
      <w:r w:rsidR="002D0374" w:rsidRPr="002173B0">
        <w:rPr>
          <w:rFonts w:ascii="Arial" w:hAnsi="Arial" w:cs="Arial"/>
          <w:sz w:val="24"/>
          <w:szCs w:val="24"/>
        </w:rPr>
        <w:t>ów, Czerwieńsk, Świdnica, Zabór</w:t>
      </w:r>
      <w:r w:rsidRPr="002173B0">
        <w:rPr>
          <w:rFonts w:ascii="Arial" w:hAnsi="Arial" w:cs="Arial"/>
          <w:sz w:val="24"/>
          <w:szCs w:val="24"/>
        </w:rPr>
        <w:t>, Otyń i gminą wiejską Nowa Sól.</w:t>
      </w:r>
      <w:r w:rsidR="002D0374" w:rsidRPr="002173B0">
        <w:rPr>
          <w:rFonts w:ascii="Arial" w:hAnsi="Arial" w:cs="Arial"/>
          <w:sz w:val="24"/>
          <w:szCs w:val="24"/>
        </w:rPr>
        <w:t xml:space="preserve"> </w:t>
      </w:r>
    </w:p>
    <w:p w14:paraId="61770E12" w14:textId="11D3341B" w:rsidR="002D0374" w:rsidRPr="002173B0" w:rsidRDefault="002D0374" w:rsidP="002173B0">
      <w:pPr>
        <w:pStyle w:val="Akapitzlist"/>
        <w:ind w:left="357"/>
        <w:jc w:val="both"/>
        <w:rPr>
          <w:rFonts w:ascii="Arial" w:hAnsi="Arial" w:cs="Arial"/>
          <w:i/>
          <w:sz w:val="24"/>
          <w:szCs w:val="24"/>
        </w:rPr>
      </w:pPr>
      <w:r w:rsidRPr="002173B0">
        <w:rPr>
          <w:rFonts w:ascii="Arial" w:hAnsi="Arial" w:cs="Arial"/>
          <w:i/>
          <w:sz w:val="24"/>
          <w:szCs w:val="24"/>
        </w:rPr>
        <w:t>29 stycznia 2021 r. wpłynął zaktualizowany list intencyjny samorządów wchodzących w skład tego MOF-u, wg którego w partnerstwie uwzględniono również gminę Nowogród Bobrzański (w projekcie SRWL 2030 zaznaczona</w:t>
      </w:r>
      <w:r w:rsidR="00D22039" w:rsidRPr="002173B0">
        <w:rPr>
          <w:rFonts w:ascii="Arial" w:hAnsi="Arial" w:cs="Arial"/>
          <w:i/>
          <w:sz w:val="24"/>
          <w:szCs w:val="24"/>
        </w:rPr>
        <w:t xml:space="preserve"> obok Kożuchowa</w:t>
      </w:r>
      <w:r w:rsidRPr="002173B0">
        <w:rPr>
          <w:rFonts w:ascii="Arial" w:hAnsi="Arial" w:cs="Arial"/>
          <w:i/>
          <w:sz w:val="24"/>
          <w:szCs w:val="24"/>
        </w:rPr>
        <w:t xml:space="preserve"> jako obszar potencjalnego rozszerzenia MOF). Zaznaczyć należy</w:t>
      </w:r>
      <w:r w:rsidR="00D22039" w:rsidRPr="002173B0">
        <w:rPr>
          <w:rFonts w:ascii="Arial" w:hAnsi="Arial" w:cs="Arial"/>
          <w:i/>
          <w:sz w:val="24"/>
          <w:szCs w:val="24"/>
        </w:rPr>
        <w:t xml:space="preserve"> również</w:t>
      </w:r>
      <w:r w:rsidRPr="002173B0">
        <w:rPr>
          <w:rFonts w:ascii="Arial" w:hAnsi="Arial" w:cs="Arial"/>
          <w:i/>
          <w:sz w:val="24"/>
          <w:szCs w:val="24"/>
        </w:rPr>
        <w:t>, że władze gminy wiejskiej Nowa Sól nie wyrażają woli uczestnictwa w</w:t>
      </w:r>
      <w:r w:rsidR="00E443F5">
        <w:rPr>
          <w:rFonts w:ascii="Arial" w:hAnsi="Arial" w:cs="Arial"/>
          <w:i/>
          <w:sz w:val="24"/>
          <w:szCs w:val="24"/>
        </w:rPr>
        <w:t> </w:t>
      </w:r>
      <w:r w:rsidRPr="002173B0">
        <w:rPr>
          <w:rFonts w:ascii="Arial" w:hAnsi="Arial" w:cs="Arial"/>
          <w:i/>
          <w:sz w:val="24"/>
          <w:szCs w:val="24"/>
        </w:rPr>
        <w:t xml:space="preserve">partnerstwie gmin MOF Zielonogórsko-Nowosolskiego. </w:t>
      </w:r>
    </w:p>
    <w:p w14:paraId="2F63B241" w14:textId="77777777" w:rsidR="00D22039" w:rsidRPr="002173B0" w:rsidRDefault="00D22039" w:rsidP="002173B0">
      <w:pPr>
        <w:jc w:val="both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hAnsi="Arial" w:cs="Arial"/>
          <w:sz w:val="24"/>
          <w:szCs w:val="24"/>
          <w:u w:val="single"/>
        </w:rPr>
        <w:t xml:space="preserve">Miejskie obszary funkcjonalne ośrodków </w:t>
      </w:r>
      <w:proofErr w:type="spellStart"/>
      <w:r w:rsidRPr="002173B0">
        <w:rPr>
          <w:rFonts w:ascii="Arial" w:hAnsi="Arial" w:cs="Arial"/>
          <w:sz w:val="24"/>
          <w:szCs w:val="24"/>
          <w:u w:val="single"/>
        </w:rPr>
        <w:t>subregionalnych</w:t>
      </w:r>
      <w:proofErr w:type="spellEnd"/>
      <w:r w:rsidRPr="002173B0">
        <w:rPr>
          <w:rFonts w:ascii="Arial" w:hAnsi="Arial" w:cs="Arial"/>
          <w:sz w:val="24"/>
          <w:szCs w:val="24"/>
          <w:u w:val="single"/>
        </w:rPr>
        <w:t>:</w:t>
      </w:r>
    </w:p>
    <w:p w14:paraId="1EBA3D7C" w14:textId="4FDB8CF4" w:rsidR="00D22039" w:rsidRPr="002173B0" w:rsidRDefault="00D22039" w:rsidP="002173B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hAnsi="Arial" w:cs="Arial"/>
          <w:b/>
          <w:sz w:val="24"/>
          <w:szCs w:val="24"/>
        </w:rPr>
        <w:t>MOF Świebodzińsko-</w:t>
      </w:r>
      <w:r w:rsidR="00AB6311" w:rsidRPr="002173B0">
        <w:rPr>
          <w:rFonts w:ascii="Arial" w:hAnsi="Arial" w:cs="Arial"/>
          <w:b/>
          <w:sz w:val="24"/>
          <w:szCs w:val="24"/>
        </w:rPr>
        <w:t>M</w:t>
      </w:r>
      <w:r w:rsidRPr="002173B0">
        <w:rPr>
          <w:rFonts w:ascii="Arial" w:hAnsi="Arial" w:cs="Arial"/>
          <w:b/>
          <w:sz w:val="24"/>
          <w:szCs w:val="24"/>
        </w:rPr>
        <w:t xml:space="preserve">iędzyrzecki </w:t>
      </w:r>
      <w:r w:rsidRPr="002173B0">
        <w:rPr>
          <w:rFonts w:ascii="Arial" w:hAnsi="Arial" w:cs="Arial"/>
          <w:sz w:val="24"/>
          <w:szCs w:val="24"/>
        </w:rPr>
        <w:t>– obejmuje obszar gmin Świebodzin i</w:t>
      </w:r>
      <w:r w:rsidR="00E443F5">
        <w:rPr>
          <w:rFonts w:ascii="Arial" w:hAnsi="Arial" w:cs="Arial"/>
          <w:sz w:val="24"/>
          <w:szCs w:val="24"/>
        </w:rPr>
        <w:t> </w:t>
      </w:r>
      <w:r w:rsidRPr="002173B0">
        <w:rPr>
          <w:rFonts w:ascii="Arial" w:hAnsi="Arial" w:cs="Arial"/>
          <w:sz w:val="24"/>
          <w:szCs w:val="24"/>
        </w:rPr>
        <w:t xml:space="preserve">Międzyrzecz.  </w:t>
      </w:r>
      <w:r w:rsidR="00AB6311" w:rsidRPr="002173B0">
        <w:rPr>
          <w:rFonts w:ascii="Arial" w:hAnsi="Arial" w:cs="Arial"/>
          <w:sz w:val="24"/>
          <w:szCs w:val="24"/>
        </w:rPr>
        <w:t>O</w:t>
      </w:r>
      <w:r w:rsidRPr="002173B0">
        <w:rPr>
          <w:rFonts w:ascii="Arial" w:hAnsi="Arial" w:cs="Arial"/>
          <w:sz w:val="24"/>
          <w:szCs w:val="24"/>
        </w:rPr>
        <w:t>bszarem rozszerzenia partnerstwa samorządów w ramach MOF świebodzińsko-</w:t>
      </w:r>
      <w:r w:rsidR="00AB6311" w:rsidRPr="002173B0">
        <w:rPr>
          <w:rFonts w:ascii="Arial" w:hAnsi="Arial" w:cs="Arial"/>
          <w:sz w:val="24"/>
          <w:szCs w:val="24"/>
        </w:rPr>
        <w:t>M</w:t>
      </w:r>
      <w:r w:rsidRPr="002173B0">
        <w:rPr>
          <w:rFonts w:ascii="Arial" w:hAnsi="Arial" w:cs="Arial"/>
          <w:sz w:val="24"/>
          <w:szCs w:val="24"/>
        </w:rPr>
        <w:t>iędzyrzeckiego jest również gmina Sulęcin, co związane jest z</w:t>
      </w:r>
      <w:r w:rsidR="00E443F5">
        <w:rPr>
          <w:rFonts w:ascii="Arial" w:hAnsi="Arial" w:cs="Arial"/>
          <w:sz w:val="24"/>
          <w:szCs w:val="24"/>
        </w:rPr>
        <w:t> </w:t>
      </w:r>
      <w:r w:rsidRPr="002173B0">
        <w:rPr>
          <w:rFonts w:ascii="Arial" w:hAnsi="Arial" w:cs="Arial"/>
          <w:sz w:val="24"/>
          <w:szCs w:val="24"/>
        </w:rPr>
        <w:t>wyrażoną wolą nawiązania współpracy.</w:t>
      </w:r>
    </w:p>
    <w:p w14:paraId="69D577AA" w14:textId="77777777" w:rsidR="00D22039" w:rsidRPr="002173B0" w:rsidRDefault="00D22039" w:rsidP="002173B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hAnsi="Arial" w:cs="Arial"/>
          <w:b/>
          <w:sz w:val="24"/>
          <w:szCs w:val="24"/>
        </w:rPr>
        <w:t xml:space="preserve">MOF Żarsko-Żagański - </w:t>
      </w:r>
      <w:r w:rsidR="000C0D9D" w:rsidRPr="002173B0">
        <w:rPr>
          <w:rFonts w:ascii="Arial" w:hAnsi="Arial" w:cs="Arial"/>
          <w:sz w:val="24"/>
          <w:szCs w:val="24"/>
        </w:rPr>
        <w:t>obejmuje obok tych miast stanowiących jego rdzeń, również sąsiadujące gminy wiejskie Żary i Żagań oraz gminę Iłowa.</w:t>
      </w:r>
    </w:p>
    <w:p w14:paraId="3D5CA8BF" w14:textId="77777777" w:rsidR="000C0D9D" w:rsidRPr="002173B0" w:rsidRDefault="000C0D9D" w:rsidP="002173B0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b/>
          <w:sz w:val="24"/>
          <w:szCs w:val="24"/>
        </w:rPr>
        <w:t>MOF Słubice</w:t>
      </w:r>
      <w:r w:rsidRPr="002173B0">
        <w:rPr>
          <w:rFonts w:ascii="Arial" w:hAnsi="Arial" w:cs="Arial"/>
          <w:sz w:val="24"/>
          <w:szCs w:val="24"/>
        </w:rPr>
        <w:t xml:space="preserve"> - obejmuje miasto Słubice jako jego rdzeń oraz część wiejską gminy.</w:t>
      </w:r>
    </w:p>
    <w:p w14:paraId="26C2881F" w14:textId="4AA14CCC" w:rsidR="000C0D9D" w:rsidRPr="002173B0" w:rsidRDefault="000C0D9D" w:rsidP="002173B0">
      <w:pPr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 xml:space="preserve">Strategia </w:t>
      </w:r>
      <w:r w:rsidR="0074283D" w:rsidRPr="002173B0">
        <w:rPr>
          <w:rFonts w:ascii="Arial" w:hAnsi="Arial" w:cs="Arial"/>
          <w:sz w:val="24"/>
          <w:szCs w:val="24"/>
        </w:rPr>
        <w:t xml:space="preserve">obok ośrodków wojewódzkich i </w:t>
      </w:r>
      <w:proofErr w:type="spellStart"/>
      <w:r w:rsidR="0074283D" w:rsidRPr="002173B0">
        <w:rPr>
          <w:rFonts w:ascii="Arial" w:hAnsi="Arial" w:cs="Arial"/>
          <w:sz w:val="24"/>
          <w:szCs w:val="24"/>
        </w:rPr>
        <w:t>subregionalnych</w:t>
      </w:r>
      <w:proofErr w:type="spellEnd"/>
      <w:r w:rsidR="0074283D" w:rsidRPr="002173B0">
        <w:rPr>
          <w:rFonts w:ascii="Arial" w:hAnsi="Arial" w:cs="Arial"/>
          <w:sz w:val="24"/>
          <w:szCs w:val="24"/>
        </w:rPr>
        <w:t xml:space="preserve"> wymienia </w:t>
      </w:r>
      <w:r w:rsidRPr="002173B0">
        <w:rPr>
          <w:rFonts w:ascii="Arial" w:hAnsi="Arial" w:cs="Arial"/>
          <w:sz w:val="24"/>
          <w:szCs w:val="24"/>
          <w:u w:val="single"/>
        </w:rPr>
        <w:t>ośrodki lokalne</w:t>
      </w:r>
      <w:r w:rsidRPr="002173B0">
        <w:rPr>
          <w:rFonts w:ascii="Arial" w:hAnsi="Arial" w:cs="Arial"/>
          <w:sz w:val="24"/>
          <w:szCs w:val="24"/>
        </w:rPr>
        <w:t xml:space="preserve"> tj.</w:t>
      </w:r>
      <w:r w:rsidR="00E443F5">
        <w:rPr>
          <w:rFonts w:ascii="Arial" w:hAnsi="Arial" w:cs="Arial"/>
          <w:sz w:val="24"/>
          <w:szCs w:val="24"/>
        </w:rPr>
        <w:t> </w:t>
      </w:r>
      <w:r w:rsidRPr="002173B0">
        <w:rPr>
          <w:rFonts w:ascii="Arial" w:hAnsi="Arial" w:cs="Arial"/>
          <w:sz w:val="24"/>
          <w:szCs w:val="24"/>
        </w:rPr>
        <w:t xml:space="preserve">wszystkie pozostałe (obok ośrodków </w:t>
      </w:r>
      <w:proofErr w:type="spellStart"/>
      <w:r w:rsidRPr="002173B0">
        <w:rPr>
          <w:rFonts w:ascii="Arial" w:hAnsi="Arial" w:cs="Arial"/>
          <w:sz w:val="24"/>
          <w:szCs w:val="24"/>
        </w:rPr>
        <w:t>subregionalnych</w:t>
      </w:r>
      <w:proofErr w:type="spellEnd"/>
      <w:r w:rsidRPr="002173B0">
        <w:rPr>
          <w:rFonts w:ascii="Arial" w:hAnsi="Arial" w:cs="Arial"/>
          <w:sz w:val="24"/>
          <w:szCs w:val="24"/>
        </w:rPr>
        <w:t>) miasta powiatowe (Krosno Odrzańskie, Wschowę, Sulęcin oraz Strzelce Krajeńskie), a także Drezdenko, Kostrzyn nad Odrą, Gubin, Lubsko, Szprotawę i Skwierzynę.</w:t>
      </w:r>
    </w:p>
    <w:p w14:paraId="5E2AFB50" w14:textId="180946EA" w:rsidR="00AB6311" w:rsidRPr="002173B0" w:rsidRDefault="00AB6311" w:rsidP="002173B0">
      <w:pPr>
        <w:jc w:val="both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hAnsi="Arial" w:cs="Arial"/>
          <w:sz w:val="24"/>
          <w:szCs w:val="24"/>
          <w:u w:val="single"/>
        </w:rPr>
        <w:t>Partnerstwa</w:t>
      </w:r>
    </w:p>
    <w:p w14:paraId="42610C48" w14:textId="04FA8B8D" w:rsidR="00AB6311" w:rsidRPr="002173B0" w:rsidRDefault="00AB6311" w:rsidP="002173B0">
      <w:pPr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- zawiązane w związku z przystąpieniem do rządowego projektu „Pilotaż Centrum Wsparcia Doradczego”:</w:t>
      </w:r>
    </w:p>
    <w:p w14:paraId="2020FC40" w14:textId="7D46B52E" w:rsidR="00AB6311" w:rsidRPr="002173B0" w:rsidRDefault="00AB631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Partnerstwo gmin Małomice, Szprotawa, Niegosławice i Powiatu Żagańskiego</w:t>
      </w:r>
      <w:r w:rsidR="002173B0">
        <w:rPr>
          <w:rFonts w:ascii="Arial" w:hAnsi="Arial" w:cs="Arial"/>
          <w:sz w:val="24"/>
          <w:szCs w:val="24"/>
        </w:rPr>
        <w:t>,</w:t>
      </w:r>
    </w:p>
    <w:p w14:paraId="2C79F1C7" w14:textId="4B1EF26A" w:rsidR="00AB6311" w:rsidRPr="002173B0" w:rsidRDefault="00AB631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Partnerstwo gmin „Północ Województwa Lubuskiego zawsze razem”, w którego skład wchodzą sąsiadujące ze sobą gminy: Dobiegniew, Drezdenko, Stare Kurowo, Zwierzyn i Powiat Strzelecko-Drezdenecki</w:t>
      </w:r>
      <w:r w:rsidR="002173B0">
        <w:rPr>
          <w:rFonts w:ascii="Arial" w:hAnsi="Arial" w:cs="Arial"/>
          <w:sz w:val="24"/>
          <w:szCs w:val="24"/>
        </w:rPr>
        <w:t>,</w:t>
      </w:r>
    </w:p>
    <w:p w14:paraId="37CF0D61" w14:textId="0E075A46" w:rsidR="00AB6311" w:rsidRPr="002173B0" w:rsidRDefault="00AB631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 xml:space="preserve">Partnerstwo gmin pn. „Krośnieński Obszar Funkcjonalny” utworzone przez Powiat Krośnieński, miasto Gubin oraz gminy Krosno Odrzańskie, Bobrowice, Bytnica, Dąbie, Gubin (gm. o statusie wiejskim) i Maszewo </w:t>
      </w:r>
      <w:r w:rsidRPr="002173B0">
        <w:rPr>
          <w:rFonts w:ascii="Arial" w:hAnsi="Arial" w:cs="Arial"/>
          <w:i/>
          <w:sz w:val="24"/>
          <w:szCs w:val="24"/>
        </w:rPr>
        <w:t xml:space="preserve">(partnerstwo zostało zgłoszone </w:t>
      </w:r>
      <w:r w:rsidRPr="002173B0">
        <w:rPr>
          <w:rFonts w:ascii="Arial" w:hAnsi="Arial" w:cs="Arial"/>
          <w:i/>
          <w:sz w:val="24"/>
          <w:szCs w:val="24"/>
        </w:rPr>
        <w:lastRenderedPageBreak/>
        <w:t xml:space="preserve">w ramach naboru gmin do projektu Centrum Wsparcia Doradczego jednak ostatecznie nie zostało wybrane przez </w:t>
      </w:r>
      <w:proofErr w:type="spellStart"/>
      <w:r w:rsidRPr="002173B0">
        <w:rPr>
          <w:rFonts w:ascii="Arial" w:hAnsi="Arial" w:cs="Arial"/>
          <w:i/>
          <w:sz w:val="24"/>
          <w:szCs w:val="24"/>
        </w:rPr>
        <w:t>MFiPR</w:t>
      </w:r>
      <w:proofErr w:type="spellEnd"/>
      <w:r w:rsidRPr="002173B0">
        <w:rPr>
          <w:rFonts w:ascii="Arial" w:hAnsi="Arial" w:cs="Arial"/>
          <w:i/>
          <w:sz w:val="24"/>
          <w:szCs w:val="24"/>
        </w:rPr>
        <w:t xml:space="preserve"> do udziału w pilotażu)</w:t>
      </w:r>
      <w:r w:rsidR="002173B0">
        <w:rPr>
          <w:rFonts w:ascii="Arial" w:hAnsi="Arial" w:cs="Arial"/>
          <w:i/>
          <w:sz w:val="24"/>
          <w:szCs w:val="24"/>
        </w:rPr>
        <w:t>,</w:t>
      </w:r>
    </w:p>
    <w:p w14:paraId="0FECD3D9" w14:textId="41B34D30" w:rsidR="000C0D9D" w:rsidRPr="002173B0" w:rsidRDefault="00AB6311" w:rsidP="002173B0">
      <w:pPr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- i</w:t>
      </w:r>
      <w:r w:rsidR="000C0D9D" w:rsidRPr="002173B0">
        <w:rPr>
          <w:rFonts w:ascii="Arial" w:hAnsi="Arial" w:cs="Arial"/>
          <w:sz w:val="24"/>
          <w:szCs w:val="24"/>
        </w:rPr>
        <w:t>nne inicjatywy partnerstw gmin wg stanu na I.2021:</w:t>
      </w:r>
    </w:p>
    <w:p w14:paraId="03E845B7" w14:textId="11C357AE" w:rsidR="00AB6311" w:rsidRPr="002173B0" w:rsidRDefault="00AB631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bCs/>
          <w:sz w:val="24"/>
          <w:szCs w:val="24"/>
        </w:rPr>
        <w:t xml:space="preserve">Partnerstwo przygraniczne na rzecz Łuku </w:t>
      </w:r>
      <w:proofErr w:type="spellStart"/>
      <w:r w:rsidRPr="002173B0">
        <w:rPr>
          <w:rFonts w:ascii="Arial" w:hAnsi="Arial" w:cs="Arial"/>
          <w:bCs/>
          <w:sz w:val="24"/>
          <w:szCs w:val="24"/>
        </w:rPr>
        <w:t>Mużakowa</w:t>
      </w:r>
      <w:proofErr w:type="spellEnd"/>
      <w:r w:rsidRPr="002173B0">
        <w:rPr>
          <w:rFonts w:ascii="Arial" w:hAnsi="Arial" w:cs="Arial"/>
          <w:bCs/>
          <w:sz w:val="24"/>
          <w:szCs w:val="24"/>
        </w:rPr>
        <w:t xml:space="preserve"> - miasto Łęknica oraz gminy: Brody, Trzebiel Tuplice </w:t>
      </w:r>
      <w:r w:rsidRPr="002173B0">
        <w:rPr>
          <w:rFonts w:ascii="Arial" w:hAnsi="Arial" w:cs="Arial"/>
          <w:bCs/>
          <w:i/>
          <w:sz w:val="24"/>
          <w:szCs w:val="24"/>
        </w:rPr>
        <w:t>(zaznaczone jako inicjatywa partnerstwa na mapie 16)</w:t>
      </w:r>
      <w:r w:rsidR="002173B0">
        <w:rPr>
          <w:rFonts w:ascii="Arial" w:hAnsi="Arial" w:cs="Arial"/>
          <w:bCs/>
          <w:i/>
          <w:sz w:val="24"/>
          <w:szCs w:val="24"/>
        </w:rPr>
        <w:t>,</w:t>
      </w:r>
    </w:p>
    <w:p w14:paraId="7729E462" w14:textId="02019525" w:rsidR="00AA5D31" w:rsidRPr="002173B0" w:rsidRDefault="00AA5D3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Inicjatywa partnerskiej współpracy gmin środkowego pogranicza województwa lubuskiego pod nazwą G7, do której przystąpiły gminy Słubice, Rzepin, Ośno Lubuskie, Cybinka, Górzyca, Słońsk i miasto Kostrzyn nad Odrą,</w:t>
      </w:r>
    </w:p>
    <w:p w14:paraId="194FE9C7" w14:textId="7F071B0F" w:rsidR="00AB6311" w:rsidRPr="002173B0" w:rsidRDefault="00AB6311" w:rsidP="002173B0">
      <w:pPr>
        <w:pStyle w:val="Akapitzlist"/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hAnsi="Arial" w:cs="Arial"/>
          <w:bCs/>
          <w:sz w:val="24"/>
          <w:szCs w:val="24"/>
        </w:rPr>
        <w:t xml:space="preserve">Inicjatywa partnerstwa gmin: Kożuchów, Nowa Sól - gm. wiejska, Nowe Miasteczko, Bytom Odrzański, Siedlisko oraz Sława </w:t>
      </w:r>
      <w:r w:rsidRPr="002173B0">
        <w:rPr>
          <w:rFonts w:ascii="Arial" w:hAnsi="Arial" w:cs="Arial"/>
          <w:bCs/>
          <w:i/>
          <w:sz w:val="24"/>
          <w:szCs w:val="24"/>
        </w:rPr>
        <w:t>(w styczniu 2021 wpłynęła informacja o rozszerzeniu partnerstwa o trzy gminy: Wschowa, Szlichtyngowa i</w:t>
      </w:r>
      <w:r w:rsidR="00E443F5">
        <w:rPr>
          <w:rFonts w:ascii="Arial" w:hAnsi="Arial" w:cs="Arial"/>
          <w:bCs/>
          <w:i/>
          <w:sz w:val="24"/>
          <w:szCs w:val="24"/>
        </w:rPr>
        <w:t> </w:t>
      </w:r>
      <w:r w:rsidRPr="002173B0">
        <w:rPr>
          <w:rFonts w:ascii="Arial" w:hAnsi="Arial" w:cs="Arial"/>
          <w:bCs/>
          <w:i/>
          <w:sz w:val="24"/>
          <w:szCs w:val="24"/>
        </w:rPr>
        <w:t>Kolsko)</w:t>
      </w:r>
      <w:r w:rsidR="002173B0">
        <w:rPr>
          <w:rFonts w:ascii="Arial" w:hAnsi="Arial" w:cs="Arial"/>
          <w:bCs/>
          <w:i/>
          <w:sz w:val="24"/>
          <w:szCs w:val="24"/>
        </w:rPr>
        <w:t>.</w:t>
      </w:r>
    </w:p>
    <w:p w14:paraId="7A99AE73" w14:textId="77777777" w:rsidR="002173B0" w:rsidRPr="002173B0" w:rsidRDefault="00AB6311" w:rsidP="002173B0">
      <w:pPr>
        <w:jc w:val="both"/>
        <w:rPr>
          <w:rFonts w:ascii="Arial" w:eastAsia="Calibri" w:hAnsi="Arial" w:cs="Arial"/>
          <w:sz w:val="24"/>
          <w:szCs w:val="24"/>
        </w:rPr>
      </w:pPr>
      <w:r w:rsidRPr="002173B0">
        <w:rPr>
          <w:rFonts w:ascii="Arial" w:hAnsi="Arial" w:cs="Arial"/>
          <w:sz w:val="24"/>
          <w:szCs w:val="24"/>
        </w:rPr>
        <w:t>Wymienione w projekcie SRWL partnerstwa należy traktować informacyjnie.</w:t>
      </w:r>
      <w:r w:rsidRPr="002173B0">
        <w:rPr>
          <w:rFonts w:ascii="Arial" w:eastAsia="Calibri" w:hAnsi="Arial" w:cs="Arial"/>
          <w:sz w:val="24"/>
          <w:szCs w:val="24"/>
        </w:rPr>
        <w:t xml:space="preserve"> </w:t>
      </w:r>
    </w:p>
    <w:p w14:paraId="40892504" w14:textId="1C0C2895" w:rsidR="002173B0" w:rsidRPr="002173B0" w:rsidRDefault="002173B0" w:rsidP="002173B0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p</w:t>
      </w:r>
      <w:r w:rsidRPr="002173B0">
        <w:rPr>
          <w:rFonts w:ascii="Arial" w:eastAsia="Calibri" w:hAnsi="Arial" w:cs="Arial"/>
          <w:sz w:val="24"/>
          <w:szCs w:val="24"/>
        </w:rPr>
        <w:t>rojekcie 3.0. SRWL</w:t>
      </w:r>
      <w:r w:rsidR="00E443F5">
        <w:rPr>
          <w:rFonts w:ascii="Arial" w:eastAsia="Calibri" w:hAnsi="Arial" w:cs="Arial"/>
          <w:sz w:val="24"/>
          <w:szCs w:val="24"/>
        </w:rPr>
        <w:t xml:space="preserve"> (str.59)</w:t>
      </w:r>
      <w:r w:rsidRPr="002173B0">
        <w:rPr>
          <w:rFonts w:ascii="Arial" w:eastAsia="Calibri" w:hAnsi="Arial" w:cs="Arial"/>
          <w:sz w:val="24"/>
          <w:szCs w:val="24"/>
        </w:rPr>
        <w:t xml:space="preserve"> zapisano, że: </w:t>
      </w:r>
    </w:p>
    <w:p w14:paraId="775C0846" w14:textId="70E13876" w:rsidR="002173B0" w:rsidRPr="002173B0" w:rsidRDefault="002173B0" w:rsidP="002173B0">
      <w:pPr>
        <w:jc w:val="both"/>
        <w:rPr>
          <w:rFonts w:ascii="Arial" w:eastAsia="Calibri" w:hAnsi="Arial" w:cs="Arial"/>
          <w:sz w:val="24"/>
          <w:szCs w:val="24"/>
        </w:rPr>
      </w:pPr>
      <w:r w:rsidRPr="002173B0">
        <w:rPr>
          <w:rFonts w:ascii="Arial" w:eastAsia="Calibri" w:hAnsi="Arial" w:cs="Arial"/>
          <w:sz w:val="24"/>
          <w:szCs w:val="24"/>
        </w:rPr>
        <w:t xml:space="preserve">- „gminy wiejskie, które nie wchodzą w skład miejskich obszarów funkcjonalnych ośrodków wojewódzkich i </w:t>
      </w:r>
      <w:proofErr w:type="spellStart"/>
      <w:r w:rsidRPr="002173B0">
        <w:rPr>
          <w:rFonts w:ascii="Arial" w:eastAsia="Calibri" w:hAnsi="Arial" w:cs="Arial"/>
          <w:sz w:val="24"/>
          <w:szCs w:val="24"/>
        </w:rPr>
        <w:t>subregionalnych</w:t>
      </w:r>
      <w:proofErr w:type="spellEnd"/>
      <w:r w:rsidRPr="002173B0">
        <w:rPr>
          <w:rFonts w:ascii="Arial" w:eastAsia="Calibri" w:hAnsi="Arial" w:cs="Arial"/>
          <w:sz w:val="24"/>
          <w:szCs w:val="24"/>
        </w:rPr>
        <w:t xml:space="preserve"> wraz z miastami – ośrodkami lokalnymi (oraz miastem średnim – Słubicami), będą mogły realizować nowe instrumenty przeznaczone głównie dla partnerstw lokalnych (tzw. „małe ZIT-y”) – Inne Instrumenty Terytorialne (IIT) w ramach Polityki Spójności oraz porozumienia terytorialne wprowadzone w 2020 roku w ustawie o zasadach prowadzenia polityki rozwoju”,</w:t>
      </w:r>
    </w:p>
    <w:p w14:paraId="1201DBBC" w14:textId="25CA4D2A" w:rsidR="00AB6311" w:rsidRPr="002173B0" w:rsidRDefault="002173B0" w:rsidP="002173B0">
      <w:pPr>
        <w:jc w:val="both"/>
        <w:rPr>
          <w:rFonts w:ascii="Arial" w:hAnsi="Arial" w:cs="Arial"/>
          <w:sz w:val="24"/>
          <w:szCs w:val="24"/>
        </w:rPr>
      </w:pPr>
      <w:r w:rsidRPr="002173B0">
        <w:rPr>
          <w:rFonts w:ascii="Arial" w:eastAsia="Calibri" w:hAnsi="Arial" w:cs="Arial"/>
          <w:sz w:val="24"/>
          <w:szCs w:val="24"/>
        </w:rPr>
        <w:t>- „</w:t>
      </w:r>
      <w:r w:rsidR="00AB6311" w:rsidRPr="002173B0">
        <w:rPr>
          <w:rFonts w:ascii="Arial" w:eastAsia="Calibri" w:hAnsi="Arial" w:cs="Arial"/>
          <w:sz w:val="24"/>
          <w:szCs w:val="24"/>
        </w:rPr>
        <w:t>proces inicjowania i budowania powiązań funkcjonalnych między lubuskimi gminami, poprzez nawiązywanie współpracy, planowanie i wdrażanie wspólnych projektów może być realizowany również w innych konfiguracjach partnerstw tworzonych w</w:t>
      </w:r>
      <w:r w:rsidR="00E443F5">
        <w:rPr>
          <w:rFonts w:ascii="Arial" w:eastAsia="Calibri" w:hAnsi="Arial" w:cs="Arial"/>
          <w:sz w:val="24"/>
          <w:szCs w:val="24"/>
        </w:rPr>
        <w:t> </w:t>
      </w:r>
      <w:r w:rsidR="00AB6311" w:rsidRPr="002173B0">
        <w:rPr>
          <w:rFonts w:ascii="Arial" w:eastAsia="Calibri" w:hAnsi="Arial" w:cs="Arial"/>
          <w:sz w:val="24"/>
          <w:szCs w:val="24"/>
        </w:rPr>
        <w:t>trakcie obowiązywania Strategii</w:t>
      </w:r>
      <w:r w:rsidRPr="002173B0">
        <w:rPr>
          <w:rFonts w:ascii="Arial" w:eastAsia="Calibri" w:hAnsi="Arial" w:cs="Arial"/>
          <w:sz w:val="24"/>
          <w:szCs w:val="24"/>
        </w:rPr>
        <w:t>„.</w:t>
      </w:r>
      <w:r w:rsidR="00AB6311" w:rsidRPr="002173B0">
        <w:rPr>
          <w:rFonts w:ascii="Arial" w:eastAsia="Calibri" w:hAnsi="Arial" w:cs="Arial"/>
          <w:sz w:val="24"/>
          <w:szCs w:val="24"/>
        </w:rPr>
        <w:t xml:space="preserve"> </w:t>
      </w:r>
    </w:p>
    <w:p w14:paraId="56D27A83" w14:textId="63B2E375" w:rsidR="00AB6311" w:rsidRPr="002173B0" w:rsidRDefault="00AB6311" w:rsidP="002173B0">
      <w:pPr>
        <w:jc w:val="both"/>
        <w:rPr>
          <w:rFonts w:ascii="Arial" w:hAnsi="Arial" w:cs="Arial"/>
          <w:sz w:val="24"/>
          <w:szCs w:val="24"/>
        </w:rPr>
      </w:pPr>
    </w:p>
    <w:p w14:paraId="065D669A" w14:textId="67596028" w:rsidR="002173B0" w:rsidRPr="002173B0" w:rsidRDefault="002173B0" w:rsidP="002173B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173B0">
        <w:rPr>
          <w:rFonts w:ascii="Arial" w:hAnsi="Arial" w:cs="Arial"/>
          <w:color w:val="000000"/>
          <w:sz w:val="24"/>
          <w:szCs w:val="24"/>
        </w:rPr>
        <w:t>W projekcie</w:t>
      </w:r>
      <w:r w:rsidR="00E443F5">
        <w:rPr>
          <w:rFonts w:ascii="Arial" w:hAnsi="Arial" w:cs="Arial"/>
          <w:color w:val="000000"/>
          <w:sz w:val="24"/>
          <w:szCs w:val="24"/>
        </w:rPr>
        <w:t xml:space="preserve"> konsultowanej</w:t>
      </w:r>
      <w:r w:rsidRPr="002173B0">
        <w:rPr>
          <w:rFonts w:ascii="Arial" w:hAnsi="Arial" w:cs="Arial"/>
          <w:color w:val="000000"/>
          <w:sz w:val="24"/>
          <w:szCs w:val="24"/>
        </w:rPr>
        <w:t xml:space="preserve"> Umowy Partnerstwa zapisano, że zasady realizacji poszczególnych instrumentów terytorialnych (ZIT, IIT) zostaną określone w</w:t>
      </w:r>
      <w:r w:rsidR="00E443F5">
        <w:rPr>
          <w:rFonts w:ascii="Arial" w:hAnsi="Arial" w:cs="Arial"/>
          <w:color w:val="000000"/>
          <w:sz w:val="24"/>
          <w:szCs w:val="24"/>
        </w:rPr>
        <w:t> </w:t>
      </w:r>
      <w:r w:rsidRPr="002173B0">
        <w:rPr>
          <w:rFonts w:ascii="Arial" w:hAnsi="Arial" w:cs="Arial"/>
          <w:color w:val="000000"/>
          <w:sz w:val="24"/>
          <w:szCs w:val="24"/>
        </w:rPr>
        <w:t>wytycznych ministra właściwego ds. rozwoju regionalnego do ustawy o zasadach realizacji programów w zakresie polityki spójności finansowanych w perspektywie finansowej 2021-2027.</w:t>
      </w:r>
    </w:p>
    <w:p w14:paraId="0641CFB1" w14:textId="25C96CC7" w:rsidR="002173B0" w:rsidRPr="002173B0" w:rsidRDefault="002173B0" w:rsidP="002173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B5EDFF7" w14:textId="41C2E01F" w:rsidR="002173B0" w:rsidRPr="002173B0" w:rsidRDefault="002173B0" w:rsidP="002173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C1CD37C" w14:textId="28EA2E2A" w:rsidR="002173B0" w:rsidRPr="002173B0" w:rsidRDefault="002173B0" w:rsidP="002173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3AF9CD50" w14:textId="1C46378D" w:rsidR="002173B0" w:rsidRPr="002173B0" w:rsidRDefault="002173B0" w:rsidP="002173B0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CCDEC9F" w14:textId="77777777" w:rsidR="002173B0" w:rsidRPr="002173B0" w:rsidRDefault="002173B0" w:rsidP="002173B0">
      <w:pPr>
        <w:jc w:val="both"/>
        <w:rPr>
          <w:rFonts w:ascii="Arial" w:hAnsi="Arial" w:cs="Arial"/>
          <w:sz w:val="24"/>
          <w:szCs w:val="24"/>
        </w:rPr>
      </w:pPr>
    </w:p>
    <w:p w14:paraId="60CCE09C" w14:textId="77777777" w:rsidR="00AB6311" w:rsidRPr="002173B0" w:rsidRDefault="00AB6311" w:rsidP="002173B0">
      <w:pPr>
        <w:jc w:val="both"/>
        <w:rPr>
          <w:rFonts w:ascii="Arial" w:hAnsi="Arial" w:cs="Arial"/>
          <w:sz w:val="24"/>
          <w:szCs w:val="24"/>
        </w:rPr>
      </w:pPr>
    </w:p>
    <w:p w14:paraId="1DAC7319" w14:textId="79791871" w:rsidR="00EC181E" w:rsidRPr="002173B0" w:rsidRDefault="00EC181E" w:rsidP="002173B0">
      <w:pPr>
        <w:pStyle w:val="Legenda"/>
        <w:keepNext/>
        <w:ind w:left="720"/>
        <w:rPr>
          <w:rFonts w:ascii="Arial" w:hAnsi="Arial" w:cs="Arial"/>
          <w:sz w:val="24"/>
          <w:szCs w:val="24"/>
        </w:rPr>
      </w:pPr>
      <w:bookmarkStart w:id="0" w:name="_Toc60661490"/>
      <w:r w:rsidRPr="002173B0">
        <w:rPr>
          <w:rFonts w:ascii="Arial" w:hAnsi="Arial" w:cs="Arial"/>
          <w:sz w:val="24"/>
          <w:szCs w:val="24"/>
        </w:rPr>
        <w:t xml:space="preserve">Rysunek </w:t>
      </w:r>
      <w:r w:rsidRPr="002173B0">
        <w:rPr>
          <w:rFonts w:ascii="Arial" w:hAnsi="Arial" w:cs="Arial"/>
          <w:sz w:val="24"/>
          <w:szCs w:val="24"/>
        </w:rPr>
        <w:fldChar w:fldCharType="begin"/>
      </w:r>
      <w:r w:rsidRPr="002173B0">
        <w:rPr>
          <w:rFonts w:ascii="Arial" w:hAnsi="Arial" w:cs="Arial"/>
          <w:sz w:val="24"/>
          <w:szCs w:val="24"/>
        </w:rPr>
        <w:instrText xml:space="preserve"> SEQ Rysunek \* ARABIC </w:instrText>
      </w:r>
      <w:r w:rsidRPr="002173B0">
        <w:rPr>
          <w:rFonts w:ascii="Arial" w:hAnsi="Arial" w:cs="Arial"/>
          <w:sz w:val="24"/>
          <w:szCs w:val="24"/>
        </w:rPr>
        <w:fldChar w:fldCharType="separate"/>
      </w:r>
      <w:r w:rsidR="00E443F5">
        <w:rPr>
          <w:rFonts w:ascii="Arial" w:hAnsi="Arial" w:cs="Arial"/>
          <w:noProof/>
          <w:sz w:val="24"/>
          <w:szCs w:val="24"/>
        </w:rPr>
        <w:t>1</w:t>
      </w:r>
      <w:r w:rsidRPr="002173B0">
        <w:rPr>
          <w:rFonts w:ascii="Arial" w:hAnsi="Arial" w:cs="Arial"/>
          <w:sz w:val="24"/>
          <w:szCs w:val="24"/>
        </w:rPr>
        <w:fldChar w:fldCharType="end"/>
      </w:r>
      <w:r w:rsidR="00AB2DB9">
        <w:rPr>
          <w:rFonts w:ascii="Arial" w:hAnsi="Arial" w:cs="Arial"/>
          <w:sz w:val="24"/>
          <w:szCs w:val="24"/>
          <w:lang w:val="pl-PL"/>
        </w:rPr>
        <w:t>6</w:t>
      </w:r>
      <w:r w:rsidRPr="002173B0">
        <w:rPr>
          <w:rFonts w:ascii="Arial" w:hAnsi="Arial" w:cs="Arial"/>
          <w:sz w:val="24"/>
          <w:szCs w:val="24"/>
          <w:lang w:val="pl-PL"/>
        </w:rPr>
        <w:t xml:space="preserve">. </w:t>
      </w:r>
      <w:r w:rsidRPr="002173B0">
        <w:rPr>
          <w:rFonts w:ascii="Arial" w:hAnsi="Arial" w:cs="Arial"/>
          <w:b w:val="0"/>
          <w:sz w:val="24"/>
          <w:szCs w:val="24"/>
          <w:lang w:val="pl-PL"/>
        </w:rPr>
        <w:t>Zasięg wsparcia instrumentami terytorialnymi dla OSI miejskich i wiejskich</w:t>
      </w:r>
      <w:bookmarkEnd w:id="0"/>
    </w:p>
    <w:p w14:paraId="725E9918" w14:textId="77777777" w:rsidR="000C0D9D" w:rsidRPr="002173B0" w:rsidRDefault="000C0D9D" w:rsidP="002173B0">
      <w:pPr>
        <w:jc w:val="both"/>
        <w:rPr>
          <w:rFonts w:ascii="Arial" w:hAnsi="Arial" w:cs="Arial"/>
          <w:sz w:val="24"/>
          <w:szCs w:val="24"/>
        </w:rPr>
      </w:pPr>
    </w:p>
    <w:p w14:paraId="74743D4D" w14:textId="4D26490F" w:rsidR="00324B1E" w:rsidRPr="002173B0" w:rsidRDefault="00EC181E" w:rsidP="00E443F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173B0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7355E568" wp14:editId="1DB1AE25">
            <wp:extent cx="5058796" cy="71532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304" cy="721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B1E" w:rsidRPr="0021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588F"/>
    <w:multiLevelType w:val="hybridMultilevel"/>
    <w:tmpl w:val="3AC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6A79"/>
    <w:multiLevelType w:val="hybridMultilevel"/>
    <w:tmpl w:val="5FEE9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5D7F"/>
    <w:multiLevelType w:val="hybridMultilevel"/>
    <w:tmpl w:val="18C80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1E"/>
    <w:rsid w:val="00027146"/>
    <w:rsid w:val="00056D78"/>
    <w:rsid w:val="000C0D9D"/>
    <w:rsid w:val="002173B0"/>
    <w:rsid w:val="002D0374"/>
    <w:rsid w:val="00324B1E"/>
    <w:rsid w:val="0074283D"/>
    <w:rsid w:val="00873267"/>
    <w:rsid w:val="008E2F6B"/>
    <w:rsid w:val="00A8453B"/>
    <w:rsid w:val="00AA5D31"/>
    <w:rsid w:val="00AB2DB9"/>
    <w:rsid w:val="00AB6311"/>
    <w:rsid w:val="00C468FD"/>
    <w:rsid w:val="00D22039"/>
    <w:rsid w:val="00E443F5"/>
    <w:rsid w:val="00E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89A5"/>
  <w15:docId w15:val="{450A1D70-2828-4045-8A92-050353E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B1E"/>
    <w:pPr>
      <w:ind w:left="720"/>
      <w:contextualSpacing/>
    </w:pPr>
  </w:style>
  <w:style w:type="paragraph" w:styleId="Legenda">
    <w:name w:val="caption"/>
    <w:basedOn w:val="Normalny"/>
    <w:next w:val="Normalny"/>
    <w:link w:val="LegendaZnak"/>
    <w:uiPriority w:val="35"/>
    <w:qFormat/>
    <w:rsid w:val="00EC181E"/>
    <w:pPr>
      <w:jc w:val="both"/>
    </w:pPr>
    <w:rPr>
      <w:rFonts w:ascii="Arial Narrow" w:eastAsia="Times New Roman" w:hAnsi="Arial Narrow" w:cs="Times New Roman"/>
      <w:b/>
      <w:bCs/>
      <w:sz w:val="18"/>
      <w:szCs w:val="20"/>
      <w:lang w:val="x-none"/>
    </w:rPr>
  </w:style>
  <w:style w:type="character" w:customStyle="1" w:styleId="LegendaZnak">
    <w:name w:val="Legenda Znak"/>
    <w:link w:val="Legenda"/>
    <w:uiPriority w:val="35"/>
    <w:rsid w:val="00EC181E"/>
    <w:rPr>
      <w:rFonts w:ascii="Arial Narrow" w:eastAsia="Times New Roman" w:hAnsi="Arial Narrow" w:cs="Times New Roman"/>
      <w:b/>
      <w:bCs/>
      <w:sz w:val="1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Kufka</dc:creator>
  <cp:lastModifiedBy>Balak-Hrynkiewicz Magdalena</cp:lastModifiedBy>
  <cp:revision>5</cp:revision>
  <cp:lastPrinted>2021-02-01T09:48:00Z</cp:lastPrinted>
  <dcterms:created xsi:type="dcterms:W3CDTF">2021-02-01T09:25:00Z</dcterms:created>
  <dcterms:modified xsi:type="dcterms:W3CDTF">2021-02-01T09:56:00Z</dcterms:modified>
</cp:coreProperties>
</file>