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80" w:rsidRPr="00D55080" w:rsidRDefault="00D55080" w:rsidP="00D55080">
      <w:pPr>
        <w:jc w:val="center"/>
        <w:rPr>
          <w:b/>
          <w:sz w:val="24"/>
          <w:szCs w:val="24"/>
        </w:rPr>
      </w:pPr>
      <w:r w:rsidRPr="00D55080">
        <w:rPr>
          <w:b/>
          <w:sz w:val="24"/>
          <w:szCs w:val="24"/>
        </w:rPr>
        <w:t xml:space="preserve">INFORMACJA NA TEMAT ZMIAN W KRAJOWYM PLANIE ODBUDOWY </w:t>
      </w:r>
      <w:r w:rsidR="00A33FD6">
        <w:rPr>
          <w:b/>
          <w:sz w:val="24"/>
          <w:szCs w:val="24"/>
        </w:rPr>
        <w:t>(z 30.04.2021 r.)</w:t>
      </w:r>
      <w:r w:rsidRPr="00D55080">
        <w:rPr>
          <w:b/>
          <w:sz w:val="24"/>
          <w:szCs w:val="24"/>
        </w:rPr>
        <w:br/>
        <w:t>W KONTEKŚCIE ZGŁASZANYCH KLUCZOWYCH UWAG LUBUSKICH</w:t>
      </w:r>
    </w:p>
    <w:p w:rsidR="00D55080" w:rsidRDefault="00D55080" w:rsidP="00F9666B">
      <w:pPr>
        <w:jc w:val="both"/>
        <w:rPr>
          <w:b/>
        </w:rPr>
      </w:pPr>
    </w:p>
    <w:p w:rsidR="00427AD7" w:rsidRPr="000E46FF" w:rsidRDefault="00EF5E37" w:rsidP="00F9666B">
      <w:pPr>
        <w:jc w:val="both"/>
        <w:rPr>
          <w:color w:val="0070C0"/>
        </w:rPr>
      </w:pPr>
      <w:r w:rsidRPr="000E46FF">
        <w:rPr>
          <w:b/>
          <w:color w:val="0070C0"/>
        </w:rPr>
        <w:t>UWAG</w:t>
      </w:r>
      <w:r w:rsidR="00D55080" w:rsidRPr="000E46FF">
        <w:rPr>
          <w:b/>
          <w:color w:val="0070C0"/>
        </w:rPr>
        <w:t>I OGÓLNE</w:t>
      </w:r>
      <w:r w:rsidR="004B0BD1" w:rsidRPr="000E46FF">
        <w:rPr>
          <w:rFonts w:ascii="Arial" w:eastAsia="Calibri" w:hAnsi="Arial" w:cs="Arial"/>
          <w:color w:val="0070C0"/>
        </w:rPr>
        <w:t xml:space="preserve"> </w:t>
      </w:r>
      <w:r w:rsidR="00D55080" w:rsidRPr="000E46FF">
        <w:rPr>
          <w:b/>
          <w:color w:val="0070C0"/>
        </w:rPr>
        <w:t>DOTYCZĄCE</w:t>
      </w:r>
      <w:r w:rsidR="004B0BD1" w:rsidRPr="000E46FF">
        <w:rPr>
          <w:b/>
          <w:color w:val="0070C0"/>
        </w:rPr>
        <w:t xml:space="preserve"> ROLI SAMORZĄDÓW WOJEWÓDZTW:</w:t>
      </w:r>
    </w:p>
    <w:p w:rsidR="00427AD7" w:rsidRDefault="00427AD7" w:rsidP="005D423D">
      <w:pPr>
        <w:jc w:val="both"/>
      </w:pPr>
      <w:r>
        <w:t>W rozdziale pn.</w:t>
      </w:r>
      <w:r w:rsidRPr="00427AD7">
        <w:t xml:space="preserve"> ZAŁOŻENIA SYSTEMU WDRAŻANIA KPO</w:t>
      </w:r>
      <w:r>
        <w:t xml:space="preserve"> </w:t>
      </w:r>
      <w:r w:rsidRPr="00A33FD6">
        <w:rPr>
          <w:b/>
        </w:rPr>
        <w:t>dodano część „Rola samorządów wojewódzkich we wdrażaniu Krajowego Planu Odbudowy</w:t>
      </w:r>
      <w:r w:rsidR="00D55080" w:rsidRPr="00A33FD6">
        <w:rPr>
          <w:b/>
        </w:rPr>
        <w:t>”</w:t>
      </w:r>
      <w:r w:rsidR="00D55080">
        <w:t xml:space="preserve"> w której wskazano</w:t>
      </w:r>
      <w:r w:rsidR="00916945">
        <w:t xml:space="preserve">, </w:t>
      </w:r>
      <w:r w:rsidR="00D55080">
        <w:t xml:space="preserve"> </w:t>
      </w:r>
      <w:r w:rsidR="00916945">
        <w:t>że</w:t>
      </w:r>
      <w:r w:rsidR="00D55080">
        <w:t xml:space="preserve"> samorządy województw odgrywać będą</w:t>
      </w:r>
      <w:r w:rsidRPr="00427AD7">
        <w:t xml:space="preserve"> znaczącą rolę we wdrażaniu Krajowego Planu Odbudowy</w:t>
      </w:r>
      <w:r w:rsidR="00916945">
        <w:t xml:space="preserve">. </w:t>
      </w:r>
      <w:r w:rsidR="00D55080">
        <w:br/>
      </w:r>
      <w:r>
        <w:t>We współpracy z samorzą</w:t>
      </w:r>
      <w:r w:rsidR="00D55080">
        <w:t>dami województw określany ma być</w:t>
      </w:r>
      <w:r>
        <w:t xml:space="preserve"> zakres i zasady interwencji skierowanej do jednostek samorządu terytorialnego. W zakresie wydatkowania środków, których beneficjentami będą jednostki samorządu terytorialnego lub ich partnerstwa, zarządy województw będą uczestniczyły w procesie określania warunków wydatkowania tych środków.</w:t>
      </w:r>
      <w:r w:rsidR="00D55080">
        <w:t xml:space="preserve"> Dopuszczono</w:t>
      </w:r>
      <w:r w:rsidR="00D55080" w:rsidRPr="00D55080">
        <w:t xml:space="preserve"> możliwość wspólnego przedstawiania opinii przez więcej niż jeden samorząd oraz uzgadnianie uwag, które odnoszą się do wykraczają poza jeden region.</w:t>
      </w:r>
    </w:p>
    <w:p w:rsidR="00427AD7" w:rsidRDefault="00427AD7" w:rsidP="005D423D">
      <w:pPr>
        <w:jc w:val="both"/>
      </w:pPr>
      <w:r w:rsidRPr="00A33FD6">
        <w:rPr>
          <w:b/>
        </w:rPr>
        <w:t>W Komitecie Monitorującym znajdą się przedstawiciele ogólnopolskich organizacji jednostek samorządu terytorialnego</w:t>
      </w:r>
      <w:r w:rsidRPr="00427AD7">
        <w:t xml:space="preserve"> reprezentowanych w Komisji Wspólnej Rządu i Samorządu Terytorialnego, wskazanych przez stronę samorządową </w:t>
      </w:r>
      <w:proofErr w:type="spellStart"/>
      <w:r w:rsidRPr="00427AD7">
        <w:t>KWRiST</w:t>
      </w:r>
      <w:proofErr w:type="spellEnd"/>
      <w:r w:rsidR="00916945">
        <w:t xml:space="preserve"> (czyli przedstawiciele ZW RP)</w:t>
      </w:r>
      <w:r w:rsidRPr="00427AD7">
        <w:t>.</w:t>
      </w:r>
      <w:r>
        <w:t xml:space="preserve"> W KPO nie wskazano</w:t>
      </w:r>
      <w:r w:rsidR="00D55080">
        <w:t xml:space="preserve"> jednak</w:t>
      </w:r>
      <w:r>
        <w:t xml:space="preserve"> proporcji w jakich b</w:t>
      </w:r>
      <w:r w:rsidR="00D55080">
        <w:t>ędą reprezentowane różne strony -</w:t>
      </w:r>
      <w:r w:rsidRPr="00427AD7">
        <w:t xml:space="preserve"> Komitet będzie działał w oparciu </w:t>
      </w:r>
      <w:r w:rsidR="00D55080">
        <w:br/>
      </w:r>
      <w:r w:rsidRPr="00427AD7">
        <w:t>o przyjęte prze</w:t>
      </w:r>
      <w:r w:rsidR="00F9666B">
        <w:t>z siebie regulamin i procedury.</w:t>
      </w:r>
    </w:p>
    <w:p w:rsidR="00CE63FA" w:rsidRDefault="00D55080" w:rsidP="005D423D">
      <w:pPr>
        <w:jc w:val="both"/>
        <w:rPr>
          <w:iCs/>
        </w:rPr>
      </w:pPr>
      <w:r>
        <w:rPr>
          <w:iCs/>
        </w:rPr>
        <w:t>Pomimo uwzględnienia szerszej formuły Komitetu Monitorującego,</w:t>
      </w:r>
      <w:r w:rsidR="009B40E2">
        <w:rPr>
          <w:iCs/>
        </w:rPr>
        <w:t xml:space="preserve"> wątpliwości budzi transparentność </w:t>
      </w:r>
      <w:r w:rsidR="00F06359">
        <w:rPr>
          <w:iCs/>
        </w:rPr>
        <w:t>procesu</w:t>
      </w:r>
      <w:r w:rsidR="00F06359" w:rsidRPr="00D55080">
        <w:rPr>
          <w:iCs/>
        </w:rPr>
        <w:t xml:space="preserve"> wyboru konkretnych inwestycji do dofinansowania</w:t>
      </w:r>
      <w:r w:rsidR="00F06359">
        <w:rPr>
          <w:iCs/>
        </w:rPr>
        <w:t xml:space="preserve"> </w:t>
      </w:r>
      <w:r w:rsidR="009B40E2">
        <w:rPr>
          <w:iCs/>
        </w:rPr>
        <w:t>i zakres</w:t>
      </w:r>
      <w:r w:rsidRPr="00D55080">
        <w:rPr>
          <w:rFonts w:ascii="Arial" w:hAnsi="Arial" w:cs="Arial"/>
          <w:sz w:val="24"/>
          <w:szCs w:val="24"/>
        </w:rPr>
        <w:t xml:space="preserve"> </w:t>
      </w:r>
      <w:r w:rsidR="009B40E2">
        <w:rPr>
          <w:iCs/>
        </w:rPr>
        <w:t>wpływu</w:t>
      </w:r>
      <w:r w:rsidR="00F06359">
        <w:rPr>
          <w:iCs/>
        </w:rPr>
        <w:t xml:space="preserve"> </w:t>
      </w:r>
      <w:r w:rsidR="00F06359">
        <w:rPr>
          <w:iCs/>
        </w:rPr>
        <w:br/>
        <w:t>na niego</w:t>
      </w:r>
      <w:r w:rsidRPr="00D55080">
        <w:rPr>
          <w:iCs/>
        </w:rPr>
        <w:t xml:space="preserve"> innych</w:t>
      </w:r>
      <w:r w:rsidR="009B40E2">
        <w:rPr>
          <w:iCs/>
        </w:rPr>
        <w:t xml:space="preserve"> (pozarządowych)</w:t>
      </w:r>
      <w:r w:rsidRPr="00D55080">
        <w:rPr>
          <w:iCs/>
        </w:rPr>
        <w:t xml:space="preserve"> </w:t>
      </w:r>
      <w:r w:rsidR="009B40E2">
        <w:rPr>
          <w:iCs/>
        </w:rPr>
        <w:t>interesar</w:t>
      </w:r>
      <w:r w:rsidR="00F06359">
        <w:rPr>
          <w:iCs/>
        </w:rPr>
        <w:t>iuszy, w tym regionów</w:t>
      </w:r>
      <w:r w:rsidRPr="00D55080">
        <w:rPr>
          <w:iCs/>
        </w:rPr>
        <w:t>.</w:t>
      </w:r>
      <w:r w:rsidR="009B40E2">
        <w:rPr>
          <w:iCs/>
        </w:rPr>
        <w:t xml:space="preserve"> Zgodnie z dokumentem definiowanie inwestycji i </w:t>
      </w:r>
      <w:r w:rsidR="009B40E2" w:rsidRPr="00A33FD6">
        <w:rPr>
          <w:b/>
          <w:iCs/>
        </w:rPr>
        <w:t>przeprowadzani</w:t>
      </w:r>
      <w:r w:rsidR="00F06359" w:rsidRPr="00A33FD6">
        <w:rPr>
          <w:b/>
          <w:iCs/>
        </w:rPr>
        <w:t>e naborów mają być w kompetencji Instytucji</w:t>
      </w:r>
      <w:r w:rsidR="009B40E2" w:rsidRPr="00A33FD6">
        <w:rPr>
          <w:b/>
          <w:iCs/>
        </w:rPr>
        <w:t xml:space="preserve"> Od</w:t>
      </w:r>
      <w:r w:rsidR="00F06359" w:rsidRPr="00A33FD6">
        <w:rPr>
          <w:b/>
          <w:iCs/>
        </w:rPr>
        <w:t>powiedzialnych za inwestycje</w:t>
      </w:r>
      <w:r w:rsidR="009B40E2" w:rsidRPr="00A33FD6">
        <w:rPr>
          <w:b/>
          <w:iCs/>
        </w:rPr>
        <w:t>, wśród których wskazano niemal wyłącznie ministerstwa i podległe rządowi instytucje.</w:t>
      </w:r>
      <w:r w:rsidR="00F06359">
        <w:rPr>
          <w:iCs/>
        </w:rPr>
        <w:t xml:space="preserve"> </w:t>
      </w:r>
      <w:r w:rsidR="004B0BD1" w:rsidRPr="004B0BD1">
        <w:rPr>
          <w:iCs/>
        </w:rPr>
        <w:t>Urzędy marszałkowskie w zapisa</w:t>
      </w:r>
      <w:r w:rsidR="004B0BD1">
        <w:rPr>
          <w:iCs/>
        </w:rPr>
        <w:t>ch wdrożeniowych dot.</w:t>
      </w:r>
      <w:r w:rsidR="00F06359">
        <w:rPr>
          <w:iCs/>
        </w:rPr>
        <w:t xml:space="preserve"> poszczególnych</w:t>
      </w:r>
      <w:r w:rsidR="004B0BD1">
        <w:rPr>
          <w:iCs/>
        </w:rPr>
        <w:t xml:space="preserve"> </w:t>
      </w:r>
      <w:r w:rsidR="004B0BD1" w:rsidRPr="004B0BD1">
        <w:rPr>
          <w:iCs/>
        </w:rPr>
        <w:t>komponentów uwzględnione zostały</w:t>
      </w:r>
      <w:r w:rsidR="004B0BD1">
        <w:rPr>
          <w:iCs/>
        </w:rPr>
        <w:t xml:space="preserve"> podobnie jak w pierwotnej wersji</w:t>
      </w:r>
      <w:r w:rsidR="00F06359">
        <w:rPr>
          <w:iCs/>
        </w:rPr>
        <w:t xml:space="preserve"> jedynie</w:t>
      </w:r>
      <w:r w:rsidR="004B0BD1" w:rsidRPr="004B0BD1">
        <w:rPr>
          <w:iCs/>
        </w:rPr>
        <w:t xml:space="preserve"> przy inwestycji dot. „</w:t>
      </w:r>
      <w:r w:rsidR="004B0BD1">
        <w:rPr>
          <w:i/>
          <w:iCs/>
        </w:rPr>
        <w:t>Przyspieszenia</w:t>
      </w:r>
      <w:r w:rsidR="004B0BD1" w:rsidRPr="004B0BD1">
        <w:rPr>
          <w:i/>
          <w:iCs/>
        </w:rPr>
        <w:t xml:space="preserve"> procesów transformacji cyfrow</w:t>
      </w:r>
      <w:r w:rsidR="004B0BD1">
        <w:rPr>
          <w:i/>
          <w:iCs/>
        </w:rPr>
        <w:t>ej ochrony zdrowia poprzez dalsz</w:t>
      </w:r>
      <w:r w:rsidR="00F9666B">
        <w:rPr>
          <w:i/>
          <w:iCs/>
        </w:rPr>
        <w:t>y rozwój</w:t>
      </w:r>
      <w:r w:rsidR="004B0BD1" w:rsidRPr="004B0BD1">
        <w:rPr>
          <w:i/>
          <w:iCs/>
        </w:rPr>
        <w:t xml:space="preserve"> usług cyfrowych w ochronie zdrowia”</w:t>
      </w:r>
      <w:r w:rsidR="004B0BD1" w:rsidRPr="004B0BD1">
        <w:rPr>
          <w:iCs/>
        </w:rPr>
        <w:t xml:space="preserve"> oraz </w:t>
      </w:r>
      <w:r w:rsidR="004B0BD1" w:rsidRPr="004B0BD1">
        <w:rPr>
          <w:bCs/>
          <w:iCs/>
        </w:rPr>
        <w:t>potencjalnie</w:t>
      </w:r>
      <w:r w:rsidR="004B0BD1" w:rsidRPr="004B0BD1">
        <w:rPr>
          <w:iCs/>
        </w:rPr>
        <w:t xml:space="preserve"> przy „</w:t>
      </w:r>
      <w:r w:rsidR="004B0BD1" w:rsidRPr="004B0BD1">
        <w:rPr>
          <w:i/>
          <w:iCs/>
        </w:rPr>
        <w:t>Rozwoju i modernizacja infrastruktury podmiotów leczniczych</w:t>
      </w:r>
      <w:r w:rsidR="00F06359">
        <w:rPr>
          <w:iCs/>
        </w:rPr>
        <w:t>”, a także</w:t>
      </w:r>
      <w:r w:rsidR="004B0BD1">
        <w:rPr>
          <w:iCs/>
        </w:rPr>
        <w:t xml:space="preserve"> dodatkowo </w:t>
      </w:r>
      <w:r w:rsidR="00F06359">
        <w:rPr>
          <w:iCs/>
        </w:rPr>
        <w:t>(</w:t>
      </w:r>
      <w:r w:rsidR="004B0BD1">
        <w:rPr>
          <w:iCs/>
        </w:rPr>
        <w:t>również potencjalnie</w:t>
      </w:r>
      <w:r w:rsidR="00F06359">
        <w:rPr>
          <w:iCs/>
        </w:rPr>
        <w:t>) przy inwestycji</w:t>
      </w:r>
      <w:r w:rsidR="004B0BD1">
        <w:rPr>
          <w:iCs/>
        </w:rPr>
        <w:t xml:space="preserve"> pn.  „</w:t>
      </w:r>
      <w:r w:rsidR="004B0BD1" w:rsidRPr="004B0BD1">
        <w:rPr>
          <w:iCs/>
        </w:rPr>
        <w:t>Rozwój i modernizacja infrastruktury podmiotów leczniczych na poziomie powiatowym</w:t>
      </w:r>
      <w:r w:rsidR="004B0BD1">
        <w:rPr>
          <w:iCs/>
        </w:rPr>
        <w:t>” (dotyczy części pożyczkowej).</w:t>
      </w:r>
    </w:p>
    <w:p w:rsidR="008A2360" w:rsidRDefault="008A2360" w:rsidP="005D423D">
      <w:pPr>
        <w:jc w:val="both"/>
        <w:rPr>
          <w:b/>
          <w:iCs/>
        </w:rPr>
      </w:pPr>
    </w:p>
    <w:p w:rsidR="008A2360" w:rsidRPr="000E46FF" w:rsidRDefault="008A2360" w:rsidP="005D423D">
      <w:pPr>
        <w:pStyle w:val="Akapitzlist"/>
        <w:numPr>
          <w:ilvl w:val="0"/>
          <w:numId w:val="13"/>
        </w:numPr>
        <w:ind w:left="720"/>
        <w:jc w:val="both"/>
        <w:rPr>
          <w:b/>
          <w:iCs/>
          <w:color w:val="0070C0"/>
        </w:rPr>
      </w:pPr>
      <w:r w:rsidRPr="000E46FF">
        <w:rPr>
          <w:b/>
          <w:iCs/>
          <w:color w:val="0070C0"/>
        </w:rPr>
        <w:t>KOMPONENT A „Odporność i konkurencyjność gospodarki”</w:t>
      </w:r>
    </w:p>
    <w:p w:rsidR="008A2360" w:rsidRPr="008A2360" w:rsidRDefault="008A2360" w:rsidP="005D423D">
      <w:pPr>
        <w:jc w:val="both"/>
        <w:rPr>
          <w:b/>
          <w:iCs/>
        </w:rPr>
      </w:pPr>
      <w:r w:rsidRPr="008A2360">
        <w:rPr>
          <w:b/>
          <w:iCs/>
        </w:rPr>
        <w:t>Najistotniejsz</w:t>
      </w:r>
      <w:r w:rsidR="005D423D">
        <w:rPr>
          <w:b/>
          <w:iCs/>
        </w:rPr>
        <w:t>e uwagi lubuskie do Komponentu A</w:t>
      </w:r>
      <w:r w:rsidRPr="008A2360">
        <w:rPr>
          <w:b/>
          <w:iCs/>
        </w:rPr>
        <w:t xml:space="preserve"> i opis uwzględnienia:</w:t>
      </w:r>
    </w:p>
    <w:p w:rsidR="008A2360" w:rsidRDefault="008A2360" w:rsidP="005D423D">
      <w:pPr>
        <w:pStyle w:val="Akapitzlist"/>
        <w:numPr>
          <w:ilvl w:val="0"/>
          <w:numId w:val="9"/>
        </w:numPr>
        <w:ind w:left="357" w:hanging="357"/>
        <w:jc w:val="both"/>
        <w:rPr>
          <w:iCs/>
        </w:rPr>
      </w:pPr>
      <w:r w:rsidRPr="008A2360">
        <w:rPr>
          <w:iCs/>
        </w:rPr>
        <w:t xml:space="preserve">Uwaga odnośnie ujęcia w KPO Inwestycji: </w:t>
      </w:r>
      <w:r w:rsidRPr="00A33FD6">
        <w:rPr>
          <w:b/>
          <w:iCs/>
        </w:rPr>
        <w:t>Rozwój technologii kosmicznych</w:t>
      </w:r>
      <w:r w:rsidR="00BE4C44">
        <w:rPr>
          <w:iCs/>
        </w:rPr>
        <w:t xml:space="preserve"> </w:t>
      </w:r>
      <w:r w:rsidRPr="008A2360">
        <w:rPr>
          <w:iCs/>
        </w:rPr>
        <w:t xml:space="preserve">– uwzględniona częściowo. W nowej wersji KPO w części pożyczkowej Komponentu A ujęta jest reforma: A2.6. Zwiększenie wykorzystania danych satelitarnych na potrzeby gospodarki i państwa. W ramach KPO ma zostać sfinansowana inwestycja, której celem jest zwiększenie kompetencji krajowych </w:t>
      </w:r>
      <w:r w:rsidR="00BE4C44">
        <w:rPr>
          <w:iCs/>
        </w:rPr>
        <w:br/>
      </w:r>
      <w:r w:rsidRPr="008A2360">
        <w:rPr>
          <w:iCs/>
        </w:rPr>
        <w:t xml:space="preserve">w zakresie obserwacji Ziemi i technologii kosmicznych podwójnego wykorzystania (tzw. dual </w:t>
      </w:r>
      <w:proofErr w:type="spellStart"/>
      <w:r w:rsidRPr="008A2360">
        <w:rPr>
          <w:iCs/>
        </w:rPr>
        <w:t>use</w:t>
      </w:r>
      <w:proofErr w:type="spellEnd"/>
      <w:r w:rsidRPr="008A2360">
        <w:rPr>
          <w:iCs/>
        </w:rPr>
        <w:t>) polegająca na rozbudowie Narodowego Segmentu Naziemnego (NSN) oraz budowie Satelitarnego Systemu Obserwacji Ziemi (SSOZ)</w:t>
      </w:r>
    </w:p>
    <w:p w:rsidR="00781021" w:rsidRPr="00781021" w:rsidRDefault="00781021" w:rsidP="005D423D">
      <w:pPr>
        <w:pStyle w:val="Akapitzlist"/>
        <w:numPr>
          <w:ilvl w:val="0"/>
          <w:numId w:val="9"/>
        </w:numPr>
        <w:ind w:left="357" w:hanging="357"/>
        <w:jc w:val="both"/>
        <w:rPr>
          <w:iCs/>
        </w:rPr>
      </w:pPr>
      <w:r w:rsidRPr="00781021">
        <w:rPr>
          <w:iCs/>
        </w:rPr>
        <w:t>Uwaga odnośnie wprowadzenia w KPO zapisów dotyczących ewentualnych zmian w planowaniu przestrzennym na szczeblu regionalnym – nieuwzględniona. W ramach KPO planuje się przyjęcie przez większość gmin planów ogólnych do połowy 2026 roku.</w:t>
      </w:r>
    </w:p>
    <w:p w:rsidR="00781021" w:rsidRPr="00781021" w:rsidRDefault="00781021" w:rsidP="005D423D">
      <w:pPr>
        <w:pStyle w:val="Akapitzlist"/>
        <w:numPr>
          <w:ilvl w:val="0"/>
          <w:numId w:val="9"/>
        </w:numPr>
        <w:ind w:left="357" w:hanging="357"/>
        <w:jc w:val="both"/>
        <w:rPr>
          <w:iCs/>
        </w:rPr>
      </w:pPr>
      <w:r w:rsidRPr="00781021">
        <w:rPr>
          <w:iCs/>
        </w:rPr>
        <w:lastRenderedPageBreak/>
        <w:t xml:space="preserve">Uwaga do inwestycji: Program wsparcia rozwoju nowych technologii </w:t>
      </w:r>
      <w:r>
        <w:rPr>
          <w:iCs/>
        </w:rPr>
        <w:t xml:space="preserve">na potrzeby gospodarki dot. </w:t>
      </w:r>
      <w:r w:rsidR="009D7A12">
        <w:rPr>
          <w:iCs/>
        </w:rPr>
        <w:t xml:space="preserve">braku zasadności </w:t>
      </w:r>
      <w:r>
        <w:rPr>
          <w:iCs/>
        </w:rPr>
        <w:t>zawężenia formuły dla instytutów Sieci</w:t>
      </w:r>
      <w:r w:rsidRPr="00781021">
        <w:rPr>
          <w:iCs/>
        </w:rPr>
        <w:t xml:space="preserve"> Badawczej Ł</w:t>
      </w:r>
      <w:r>
        <w:rPr>
          <w:iCs/>
        </w:rPr>
        <w:t xml:space="preserve">ukasiewicza jako ograniczającej dostęp do </w:t>
      </w:r>
      <w:r w:rsidRPr="00781021">
        <w:rPr>
          <w:iCs/>
        </w:rPr>
        <w:t>dofinansowania dla jednostek poza siecią - uwzględniona częściowo. Rozszerzono wsparcie na zaplecze badawcze sektora rolnictwa i przemysłu rolno-spożywczego: 12 instytutów badawczych.</w:t>
      </w:r>
    </w:p>
    <w:p w:rsidR="00781021" w:rsidRDefault="00781021" w:rsidP="005D423D">
      <w:pPr>
        <w:pStyle w:val="Akapitzlist"/>
        <w:numPr>
          <w:ilvl w:val="0"/>
          <w:numId w:val="9"/>
        </w:numPr>
        <w:ind w:left="357" w:hanging="357"/>
        <w:jc w:val="both"/>
        <w:rPr>
          <w:iCs/>
        </w:rPr>
      </w:pPr>
      <w:r w:rsidRPr="00781021">
        <w:rPr>
          <w:iCs/>
        </w:rPr>
        <w:t xml:space="preserve">Uwaga dotycząca wyboru </w:t>
      </w:r>
      <w:r w:rsidRPr="00A33FD6">
        <w:rPr>
          <w:b/>
          <w:iCs/>
        </w:rPr>
        <w:t>lokalizacji branżowych centrów umiejętności</w:t>
      </w:r>
      <w:r>
        <w:rPr>
          <w:iCs/>
        </w:rPr>
        <w:t xml:space="preserve"> dot. niejasnych zasad wybierania lokalizacji</w:t>
      </w:r>
      <w:r w:rsidRPr="00781021">
        <w:rPr>
          <w:iCs/>
        </w:rPr>
        <w:t xml:space="preserve"> b</w:t>
      </w:r>
      <w:r>
        <w:rPr>
          <w:iCs/>
        </w:rPr>
        <w:t xml:space="preserve">ranżowych centrów umiejętności </w:t>
      </w:r>
      <w:r w:rsidRPr="00781021">
        <w:rPr>
          <w:iCs/>
        </w:rPr>
        <w:t xml:space="preserve">– uwzględniono częściowo. </w:t>
      </w:r>
    </w:p>
    <w:p w:rsidR="00781021" w:rsidRDefault="00781021" w:rsidP="005D423D">
      <w:pPr>
        <w:pStyle w:val="Akapitzlist"/>
        <w:ind w:left="357"/>
        <w:jc w:val="both"/>
        <w:rPr>
          <w:iCs/>
        </w:rPr>
      </w:pPr>
      <w:r>
        <w:rPr>
          <w:iCs/>
        </w:rPr>
        <w:t>Pojawił się zapis, że</w:t>
      </w:r>
      <w:r w:rsidRPr="00781021">
        <w:rPr>
          <w:iCs/>
        </w:rPr>
        <w:t xml:space="preserve"> będą one powstawały w ścisłej współpracy z przedstawicielami poszczególnych branż, w szczególności z udziałem branżowych organizacji pracodawców, rad sektorowych, pracodawców, ośrodków badawczo-rozwojowych i innych instytucji otoczenia społeczno-gospodarczego oraz ministrów właściwych dla poszczególnych branż. </w:t>
      </w:r>
      <w:r w:rsidR="000E46FF">
        <w:rPr>
          <w:iCs/>
        </w:rPr>
        <w:t>L</w:t>
      </w:r>
      <w:r>
        <w:rPr>
          <w:iCs/>
        </w:rPr>
        <w:t>okalizacja centrów ma</w:t>
      </w:r>
      <w:r w:rsidRPr="00781021">
        <w:rPr>
          <w:iCs/>
        </w:rPr>
        <w:t xml:space="preserve"> uwzględniać równomierne rozłożenie na terenie całego kraju. Podczas wyboru lokalizacji centrów, istotne będzie również uwzględnienie strategii rozwoju regionalnego oraz regionalnych inteligentnych specjalizacji.</w:t>
      </w:r>
      <w:r>
        <w:rPr>
          <w:iCs/>
        </w:rPr>
        <w:t xml:space="preserve"> </w:t>
      </w:r>
      <w:r w:rsidRPr="00781021">
        <w:rPr>
          <w:iCs/>
        </w:rPr>
        <w:t>Dodatkowo w ramach tej samej inwestycji planuje się stworzenia zaplecza instytucjonalnego na rzecz koordynacji edukacji zawodowej i uczenia się przez całe życie, na poziomie regionalnym. Zapleczem instytucjonalnym będzie Wojewódzki Zespół Koordynacji edukacji zawodowej i uczenia się przez całe życie (WZK), który będzie powołany w każdym województwie. W skład tego zespołu wejdą przedstawiciele kluczowych interesariuszy procesów rozwoju umiejętności, w tym przedstawiciele urzędów marszałkowskich. Planuje się utworzenie WZK w co najmniej 10 w</w:t>
      </w:r>
      <w:r>
        <w:rPr>
          <w:iCs/>
        </w:rPr>
        <w:t>ojewództwach (do III kw. 2022).</w:t>
      </w:r>
    </w:p>
    <w:p w:rsidR="00781021" w:rsidRDefault="00781021" w:rsidP="005D423D">
      <w:pPr>
        <w:pStyle w:val="Akapitzlist"/>
        <w:ind w:left="357"/>
        <w:jc w:val="both"/>
        <w:rPr>
          <w:iCs/>
        </w:rPr>
      </w:pPr>
    </w:p>
    <w:p w:rsidR="00781021" w:rsidRPr="000E46FF" w:rsidRDefault="00781021" w:rsidP="005D423D">
      <w:pPr>
        <w:pStyle w:val="Akapitzlist"/>
        <w:ind w:left="0"/>
        <w:jc w:val="both"/>
        <w:rPr>
          <w:iCs/>
        </w:rPr>
      </w:pPr>
      <w:r w:rsidRPr="00781021">
        <w:rPr>
          <w:b/>
          <w:iCs/>
        </w:rPr>
        <w:t>Pozostałe istotne zmiany w stosunku do wersji pierwotnej:</w:t>
      </w:r>
    </w:p>
    <w:p w:rsidR="00781021" w:rsidRPr="00781021" w:rsidRDefault="00781021" w:rsidP="005D423D">
      <w:pPr>
        <w:pStyle w:val="Akapitzlist"/>
        <w:ind w:left="0"/>
        <w:jc w:val="both"/>
        <w:rPr>
          <w:iCs/>
        </w:rPr>
      </w:pPr>
      <w:r w:rsidRPr="00781021">
        <w:rPr>
          <w:iCs/>
        </w:rPr>
        <w:t>W nowej wersji projektu KPO pojawiły się również zupełnie nowe reformy m.in.:</w:t>
      </w:r>
    </w:p>
    <w:p w:rsidR="00781021" w:rsidRPr="00781021" w:rsidRDefault="00781021" w:rsidP="005D423D">
      <w:pPr>
        <w:pStyle w:val="Akapitzlist"/>
        <w:numPr>
          <w:ilvl w:val="0"/>
          <w:numId w:val="19"/>
        </w:numPr>
        <w:jc w:val="both"/>
        <w:rPr>
          <w:iCs/>
        </w:rPr>
      </w:pPr>
      <w:r w:rsidRPr="00781021">
        <w:rPr>
          <w:iCs/>
        </w:rPr>
        <w:t>Zwiększenie jakości stanowienia prawa oraz rozwój partnerstwa z organizacjami społecznymi:</w:t>
      </w:r>
    </w:p>
    <w:p w:rsidR="00463F00" w:rsidRDefault="00781021" w:rsidP="005D423D">
      <w:pPr>
        <w:pStyle w:val="Akapitzlist"/>
        <w:numPr>
          <w:ilvl w:val="0"/>
          <w:numId w:val="19"/>
        </w:numPr>
        <w:jc w:val="both"/>
        <w:rPr>
          <w:iCs/>
        </w:rPr>
      </w:pPr>
      <w:r w:rsidRPr="00781021">
        <w:rPr>
          <w:iCs/>
        </w:rPr>
        <w:t>Rozwiązania na rzecz dłuższego pozostawania na rynku pracy osób w wieku średnim i starszych (50+):</w:t>
      </w:r>
    </w:p>
    <w:p w:rsidR="000E46FF" w:rsidRPr="000E46FF" w:rsidRDefault="000E46FF" w:rsidP="005D423D">
      <w:pPr>
        <w:pStyle w:val="Akapitzlist"/>
        <w:ind w:left="357"/>
        <w:jc w:val="both"/>
        <w:rPr>
          <w:iCs/>
        </w:rPr>
      </w:pPr>
    </w:p>
    <w:p w:rsidR="00EF5E37" w:rsidRPr="000E46FF" w:rsidRDefault="00EF5E37" w:rsidP="005D423D">
      <w:pPr>
        <w:pStyle w:val="Akapitzlist"/>
        <w:numPr>
          <w:ilvl w:val="0"/>
          <w:numId w:val="13"/>
        </w:numPr>
        <w:ind w:left="720"/>
        <w:jc w:val="both"/>
        <w:rPr>
          <w:b/>
          <w:iCs/>
          <w:color w:val="0070C0"/>
        </w:rPr>
      </w:pPr>
      <w:r w:rsidRPr="000E46FF">
        <w:rPr>
          <w:b/>
          <w:iCs/>
          <w:color w:val="0070C0"/>
        </w:rPr>
        <w:t>KOMPONENT B „Zielona energia i zmniejszenie energochłonności”:</w:t>
      </w:r>
    </w:p>
    <w:p w:rsidR="00F06359" w:rsidRDefault="00F06359" w:rsidP="005D423D">
      <w:pPr>
        <w:jc w:val="both"/>
        <w:rPr>
          <w:b/>
          <w:iCs/>
        </w:rPr>
      </w:pPr>
      <w:r>
        <w:rPr>
          <w:b/>
          <w:iCs/>
        </w:rPr>
        <w:t>Najistotniejsze uwagi lubuskie do</w:t>
      </w:r>
      <w:r w:rsidRPr="00ED374F">
        <w:rPr>
          <w:b/>
          <w:iCs/>
        </w:rPr>
        <w:t xml:space="preserve"> </w:t>
      </w:r>
      <w:r w:rsidRPr="00F06359">
        <w:rPr>
          <w:b/>
          <w:iCs/>
        </w:rPr>
        <w:t>Komponent</w:t>
      </w:r>
      <w:r>
        <w:rPr>
          <w:b/>
          <w:iCs/>
        </w:rPr>
        <w:t>u</w:t>
      </w:r>
      <w:r w:rsidRPr="00F06359">
        <w:rPr>
          <w:b/>
          <w:iCs/>
        </w:rPr>
        <w:t xml:space="preserve"> B </w:t>
      </w:r>
      <w:r>
        <w:rPr>
          <w:b/>
          <w:iCs/>
        </w:rPr>
        <w:t>i opis uwzględnienia:</w:t>
      </w:r>
    </w:p>
    <w:p w:rsidR="00F06359" w:rsidRDefault="00F06359" w:rsidP="005D423D">
      <w:pPr>
        <w:pStyle w:val="Akapitzlist"/>
        <w:numPr>
          <w:ilvl w:val="0"/>
          <w:numId w:val="1"/>
        </w:numPr>
        <w:ind w:left="357" w:hanging="357"/>
        <w:jc w:val="both"/>
        <w:rPr>
          <w:iCs/>
        </w:rPr>
      </w:pPr>
      <w:r>
        <w:rPr>
          <w:iCs/>
        </w:rPr>
        <w:t xml:space="preserve">Inwestycje dotyczące celu </w:t>
      </w:r>
      <w:r w:rsidRPr="00463F00">
        <w:rPr>
          <w:iCs/>
        </w:rPr>
        <w:t>B1. Poprawa efektywności energetycznej gospodarki.</w:t>
      </w:r>
    </w:p>
    <w:p w:rsidR="00F06359" w:rsidRPr="00F9666B" w:rsidRDefault="00F06359" w:rsidP="005D423D">
      <w:pPr>
        <w:jc w:val="both"/>
        <w:rPr>
          <w:iCs/>
        </w:rPr>
      </w:pPr>
      <w:r w:rsidRPr="00463F00">
        <w:rPr>
          <w:iCs/>
        </w:rPr>
        <w:t xml:space="preserve">Wśród inwestycji celu B1. </w:t>
      </w:r>
      <w:r w:rsidRPr="00A33FD6">
        <w:rPr>
          <w:b/>
          <w:iCs/>
        </w:rPr>
        <w:t xml:space="preserve">nie uwzględniono efektywności energetycznej (w tym OZE) </w:t>
      </w:r>
      <w:r w:rsidRPr="00A33FD6">
        <w:rPr>
          <w:b/>
          <w:iCs/>
        </w:rPr>
        <w:br/>
        <w:t>w placówkach medycznych</w:t>
      </w:r>
      <w:r w:rsidRPr="00463F00">
        <w:rPr>
          <w:iCs/>
        </w:rPr>
        <w:t xml:space="preserve">, o co wnioskowaliśmy zgodnie ze zgłoszonym do KPO w sierpniu </w:t>
      </w:r>
      <w:r>
        <w:rPr>
          <w:iCs/>
        </w:rPr>
        <w:t xml:space="preserve">lubuskim </w:t>
      </w:r>
      <w:r w:rsidRPr="00463F00">
        <w:rPr>
          <w:iCs/>
        </w:rPr>
        <w:t xml:space="preserve">projektem dotyczącym termomodernizacji szpitali. </w:t>
      </w:r>
    </w:p>
    <w:p w:rsidR="00F06359" w:rsidRPr="00463F00" w:rsidRDefault="00F06359" w:rsidP="005D423D">
      <w:pPr>
        <w:pStyle w:val="Akapitzlist"/>
        <w:numPr>
          <w:ilvl w:val="0"/>
          <w:numId w:val="1"/>
        </w:numPr>
        <w:ind w:left="357" w:hanging="357"/>
        <w:jc w:val="both"/>
        <w:rPr>
          <w:i/>
          <w:iCs/>
        </w:rPr>
      </w:pPr>
      <w:r w:rsidRPr="009E488E">
        <w:rPr>
          <w:iCs/>
        </w:rPr>
        <w:t xml:space="preserve"> B1.1.1.</w:t>
      </w:r>
      <w:r w:rsidRPr="00A379DC">
        <w:rPr>
          <w:iCs/>
        </w:rPr>
        <w:t xml:space="preserve"> </w:t>
      </w:r>
      <w:r w:rsidRPr="005E61C9">
        <w:rPr>
          <w:i/>
          <w:iCs/>
        </w:rPr>
        <w:t>Inwestycje w źródła ciepła (chłodu) w systemach ciepłowniczych</w:t>
      </w:r>
      <w:r w:rsidRPr="009E488E">
        <w:rPr>
          <w:iCs/>
        </w:rPr>
        <w:t xml:space="preserve"> </w:t>
      </w:r>
    </w:p>
    <w:p w:rsidR="00F06359" w:rsidRPr="00F9666B" w:rsidRDefault="00F06359" w:rsidP="005D423D">
      <w:pPr>
        <w:jc w:val="both"/>
        <w:rPr>
          <w:i/>
          <w:iCs/>
        </w:rPr>
      </w:pPr>
      <w:r>
        <w:rPr>
          <w:iCs/>
        </w:rPr>
        <w:t>P</w:t>
      </w:r>
      <w:r w:rsidRPr="00463F00">
        <w:rPr>
          <w:iCs/>
        </w:rPr>
        <w:t xml:space="preserve">roponowaliśmy zniesienie ograniczenia potencjalnych beneficjentów wyłącznie do miast średnich, </w:t>
      </w:r>
      <w:r>
        <w:rPr>
          <w:iCs/>
        </w:rPr>
        <w:br/>
      </w:r>
      <w:r w:rsidRPr="00463F00">
        <w:rPr>
          <w:iCs/>
        </w:rPr>
        <w:t xml:space="preserve">a także zniesienia ograniczenia całkowitej mocy cieplnej zamówionej systemu ciepłowniczego, </w:t>
      </w:r>
      <w:r>
        <w:rPr>
          <w:iCs/>
        </w:rPr>
        <w:br/>
      </w:r>
      <w:r w:rsidRPr="00463F00">
        <w:rPr>
          <w:iCs/>
        </w:rPr>
        <w:t xml:space="preserve">w ramach którego prowadzona jest przedmiotowa działalność do mniej niż 50 MW. </w:t>
      </w:r>
      <w:r>
        <w:rPr>
          <w:i/>
          <w:iCs/>
        </w:rPr>
        <w:t xml:space="preserve">Ostatecznie </w:t>
      </w:r>
      <w:r>
        <w:rPr>
          <w:i/>
          <w:iCs/>
        </w:rPr>
        <w:br/>
        <w:t>w KPO</w:t>
      </w:r>
      <w:r w:rsidRPr="00463F00">
        <w:rPr>
          <w:iCs/>
        </w:rPr>
        <w:t xml:space="preserve"> </w:t>
      </w:r>
      <w:r>
        <w:rPr>
          <w:iCs/>
        </w:rPr>
        <w:t>zachowano ograniczenie do 50 MW (</w:t>
      </w:r>
      <w:r w:rsidRPr="00463F00">
        <w:rPr>
          <w:iCs/>
        </w:rPr>
        <w:t>w przypadku braku wyczerpania środków dla tego obszaru, wsparcie przewidziane będzie także dla pozostałych przedsiębiorstw ciepłowniczych niespełniających powyższych warunków</w:t>
      </w:r>
      <w:r>
        <w:rPr>
          <w:iCs/>
        </w:rPr>
        <w:t xml:space="preserve">). </w:t>
      </w:r>
      <w:r w:rsidRPr="00463F00">
        <w:rPr>
          <w:iCs/>
        </w:rPr>
        <w:t>Nie ma już</w:t>
      </w:r>
      <w:r>
        <w:rPr>
          <w:iCs/>
        </w:rPr>
        <w:t xml:space="preserve"> natomiast</w:t>
      </w:r>
      <w:r w:rsidRPr="00463F00">
        <w:rPr>
          <w:iCs/>
        </w:rPr>
        <w:t xml:space="preserve"> zapisów o ograniczeniu do miast średnich.</w:t>
      </w:r>
    </w:p>
    <w:p w:rsidR="005D423D" w:rsidRDefault="005D423D" w:rsidP="005D423D">
      <w:pPr>
        <w:jc w:val="both"/>
        <w:rPr>
          <w:b/>
          <w:iCs/>
        </w:rPr>
      </w:pPr>
    </w:p>
    <w:p w:rsidR="005D423D" w:rsidRDefault="005D423D" w:rsidP="005D423D">
      <w:pPr>
        <w:jc w:val="both"/>
        <w:rPr>
          <w:b/>
          <w:iCs/>
        </w:rPr>
      </w:pPr>
    </w:p>
    <w:p w:rsidR="005D423D" w:rsidRDefault="005D423D" w:rsidP="005D423D">
      <w:pPr>
        <w:jc w:val="both"/>
        <w:rPr>
          <w:b/>
          <w:iCs/>
        </w:rPr>
      </w:pPr>
    </w:p>
    <w:p w:rsidR="00463F00" w:rsidRDefault="00F06359" w:rsidP="005D423D">
      <w:pPr>
        <w:jc w:val="both"/>
      </w:pPr>
      <w:r>
        <w:rPr>
          <w:b/>
          <w:iCs/>
        </w:rPr>
        <w:lastRenderedPageBreak/>
        <w:t>Pozostałe istotne z</w:t>
      </w:r>
      <w:r w:rsidR="00EF5E37">
        <w:rPr>
          <w:b/>
          <w:iCs/>
        </w:rPr>
        <w:t>miany w stosunku do wersji pierwotnej:</w:t>
      </w:r>
    </w:p>
    <w:p w:rsidR="005E61C9" w:rsidRDefault="005E61C9" w:rsidP="005D423D">
      <w:pPr>
        <w:pStyle w:val="Akapitzlist"/>
        <w:numPr>
          <w:ilvl w:val="0"/>
          <w:numId w:val="20"/>
        </w:numPr>
        <w:spacing w:after="240"/>
        <w:ind w:left="357" w:hanging="357"/>
        <w:jc w:val="both"/>
      </w:pPr>
      <w:r>
        <w:t xml:space="preserve">W kontekście inwestycji wspierających czyste powietrze (3 201 mln euro z cz. grantowej RRF), wyodrębniono 130 mln euro na działania w budynkach wielorodzinnych. </w:t>
      </w:r>
    </w:p>
    <w:p w:rsidR="005E61C9" w:rsidRDefault="005E61C9" w:rsidP="005D423D">
      <w:pPr>
        <w:pStyle w:val="Akapitzlist"/>
        <w:numPr>
          <w:ilvl w:val="0"/>
          <w:numId w:val="20"/>
        </w:numPr>
        <w:spacing w:after="240"/>
        <w:ind w:left="357" w:hanging="357"/>
        <w:jc w:val="both"/>
      </w:pPr>
      <w:r>
        <w:t xml:space="preserve">Rozszerzono i doprecyzowano zapisy dotyczące możliwości finansowania społeczności energetycznych. </w:t>
      </w:r>
    </w:p>
    <w:p w:rsidR="000E46FF" w:rsidRDefault="005E61C9" w:rsidP="005D423D">
      <w:pPr>
        <w:pStyle w:val="Akapitzlist"/>
        <w:numPr>
          <w:ilvl w:val="0"/>
          <w:numId w:val="20"/>
        </w:numPr>
        <w:spacing w:after="240"/>
        <w:ind w:left="357" w:hanging="357"/>
        <w:jc w:val="both"/>
      </w:pPr>
      <w:r>
        <w:t xml:space="preserve">Rozszerzono zakres interwencji dot. zielonych miast, włączając duże miasta. Zrezygnowano ze środków z cz. grantowej RRF (460 mln euro), zwiększając poziom inwestycji z cz. pożyczkowej </w:t>
      </w:r>
      <w:r w:rsidR="00F9666B">
        <w:br/>
      </w:r>
      <w:r>
        <w:t xml:space="preserve">do 2 800 mln euro. </w:t>
      </w:r>
    </w:p>
    <w:p w:rsidR="005D423D" w:rsidRDefault="005D423D" w:rsidP="005D423D">
      <w:pPr>
        <w:pStyle w:val="Akapitzlist"/>
        <w:spacing w:after="240"/>
        <w:ind w:left="357"/>
        <w:jc w:val="both"/>
      </w:pPr>
    </w:p>
    <w:p w:rsidR="000E46FF" w:rsidRPr="000E46FF" w:rsidRDefault="000E46FF" w:rsidP="005D423D">
      <w:pPr>
        <w:pStyle w:val="Akapitzlist"/>
        <w:numPr>
          <w:ilvl w:val="0"/>
          <w:numId w:val="13"/>
        </w:numPr>
        <w:ind w:left="720"/>
        <w:jc w:val="both"/>
        <w:rPr>
          <w:b/>
          <w:iCs/>
          <w:color w:val="0070C0"/>
        </w:rPr>
      </w:pPr>
      <w:r w:rsidRPr="000E46FF">
        <w:rPr>
          <w:b/>
          <w:iCs/>
          <w:color w:val="0070C0"/>
        </w:rPr>
        <w:t>KOMPONENT C „Zielona energia i zmniejszenie energochłonności”:</w:t>
      </w:r>
    </w:p>
    <w:p w:rsidR="000E46FF" w:rsidRDefault="000E46FF" w:rsidP="005D423D">
      <w:pPr>
        <w:jc w:val="both"/>
        <w:rPr>
          <w:b/>
          <w:iCs/>
        </w:rPr>
      </w:pPr>
      <w:r>
        <w:rPr>
          <w:b/>
          <w:iCs/>
        </w:rPr>
        <w:t>Najistotniejsze uwagi lubuskie do</w:t>
      </w:r>
      <w:r w:rsidRPr="00ED374F">
        <w:rPr>
          <w:b/>
          <w:iCs/>
        </w:rPr>
        <w:t xml:space="preserve"> </w:t>
      </w:r>
      <w:r w:rsidRPr="00F06359">
        <w:rPr>
          <w:b/>
          <w:iCs/>
        </w:rPr>
        <w:t>Komponent</w:t>
      </w:r>
      <w:r>
        <w:rPr>
          <w:b/>
          <w:iCs/>
        </w:rPr>
        <w:t>u</w:t>
      </w:r>
      <w:r w:rsidR="005D423D">
        <w:rPr>
          <w:b/>
          <w:iCs/>
        </w:rPr>
        <w:t xml:space="preserve"> C</w:t>
      </w:r>
      <w:r w:rsidRPr="00F06359">
        <w:rPr>
          <w:b/>
          <w:iCs/>
        </w:rPr>
        <w:t xml:space="preserve"> </w:t>
      </w:r>
      <w:r>
        <w:rPr>
          <w:b/>
          <w:iCs/>
        </w:rPr>
        <w:t>i opis uwzględnienia:</w:t>
      </w:r>
    </w:p>
    <w:p w:rsidR="000E46FF" w:rsidRDefault="000E46FF" w:rsidP="005D423D">
      <w:pPr>
        <w:pStyle w:val="Akapitzlist"/>
        <w:numPr>
          <w:ilvl w:val="0"/>
          <w:numId w:val="14"/>
        </w:numPr>
        <w:spacing w:after="240"/>
        <w:ind w:left="357" w:hanging="357"/>
        <w:jc w:val="both"/>
      </w:pPr>
      <w:r>
        <w:t>Uwaga dot. niejasnej linii demarkacyjnej</w:t>
      </w:r>
      <w:r w:rsidRPr="000E46FF">
        <w:t xml:space="preserve"> pomiędzy celem C1 KPO a przyszłym Programem Polska Cyfrowa.</w:t>
      </w:r>
    </w:p>
    <w:p w:rsidR="000E46FF" w:rsidRPr="000E46FF" w:rsidRDefault="000E46FF" w:rsidP="005D423D">
      <w:pPr>
        <w:spacing w:after="240"/>
        <w:jc w:val="both"/>
      </w:pPr>
      <w:r w:rsidRPr="000E46FF">
        <w:t xml:space="preserve">Uzupełniono: „Sfinansowanie ze środków polityki spójności 2021-2027 – alokowanych w programie operacyjnym będącym kontynuacją Programu Operacyjnego Polska Cyfrowa na lata 2014-2020 – interwencji w szarych obszarach NGA (tj. w miejscach, w których nie można korzystać z dostępu do Internetu o przepustowości co najmniej 100 </w:t>
      </w:r>
      <w:proofErr w:type="spellStart"/>
      <w:r w:rsidRPr="000E46FF">
        <w:t>Mb</w:t>
      </w:r>
      <w:proofErr w:type="spellEnd"/>
      <w:r w:rsidRPr="000E46FF">
        <w:t>/s) oraz uzupełniająco – w białych obszarach NGA wymagających niższej intensywności wsparcia niż obszary będące przedmiotem interwencji KPO. Wsparcie popytu na nowoczesne usługi łączności elektronicznej będzie przedmiotem interwencji ze środków krajowego Funduszu Szerokopasmowego.”</w:t>
      </w:r>
    </w:p>
    <w:p w:rsidR="000E46FF" w:rsidRPr="000E46FF" w:rsidRDefault="000E46FF" w:rsidP="005D423D">
      <w:pPr>
        <w:spacing w:after="240"/>
        <w:jc w:val="both"/>
        <w:rPr>
          <w:b/>
          <w:iCs/>
        </w:rPr>
      </w:pPr>
      <w:r w:rsidRPr="000E46FF">
        <w:rPr>
          <w:b/>
          <w:iCs/>
        </w:rPr>
        <w:t>Pozostałe istotne zmiany w stosunku do wersji pierwotnej:</w:t>
      </w:r>
    </w:p>
    <w:p w:rsidR="000E46FF" w:rsidRDefault="000E46FF" w:rsidP="005D423D">
      <w:pPr>
        <w:pStyle w:val="Akapitzlist"/>
        <w:numPr>
          <w:ilvl w:val="0"/>
          <w:numId w:val="15"/>
        </w:numPr>
        <w:spacing w:after="240"/>
        <w:ind w:left="357" w:hanging="357"/>
        <w:jc w:val="both"/>
      </w:pPr>
      <w:r w:rsidRPr="000E46FF">
        <w:t>W inwestycji C2.1.1. „E-usługi publiczne, rozwiązania IT usprawniając</w:t>
      </w:r>
      <w:r>
        <w:t xml:space="preserve">e funkcjonowanie administracji </w:t>
      </w:r>
      <w:r w:rsidRPr="000E46FF">
        <w:t>i sektorów gospodarki oraz technologie przełomowe w s</w:t>
      </w:r>
      <w:r>
        <w:t xml:space="preserve">ektorze publicznym, gospodarce </w:t>
      </w:r>
      <w:r w:rsidRPr="000E46FF">
        <w:t xml:space="preserve">i społeczeństwie” dopisano, że w ramach inwestycji dedykowanych bezpośrednio administracji samorządowej, planowane jest m.in. </w:t>
      </w:r>
      <w:r w:rsidRPr="000E46FF">
        <w:rPr>
          <w:b/>
          <w:bCs/>
        </w:rPr>
        <w:t>zbudowanie centralne</w:t>
      </w:r>
      <w:r>
        <w:rPr>
          <w:b/>
          <w:bCs/>
        </w:rPr>
        <w:t xml:space="preserve">j platformy usług regionalnych </w:t>
      </w:r>
      <w:r w:rsidRPr="000E46FF">
        <w:rPr>
          <w:b/>
          <w:bCs/>
        </w:rPr>
        <w:t>i lokalnych</w:t>
      </w:r>
      <w:r w:rsidRPr="000E46FF">
        <w:t xml:space="preserve"> umożliwiającej publikowanie i udostępnianie e-usług w celu ich wykorzystania przez inne jednostki.</w:t>
      </w:r>
    </w:p>
    <w:p w:rsidR="004042CD" w:rsidRDefault="004042CD" w:rsidP="005D423D">
      <w:pPr>
        <w:pStyle w:val="Akapitzlist"/>
        <w:numPr>
          <w:ilvl w:val="0"/>
          <w:numId w:val="15"/>
        </w:numPr>
        <w:spacing w:after="240"/>
        <w:ind w:left="357" w:hanging="357"/>
        <w:jc w:val="both"/>
      </w:pPr>
      <w:r>
        <w:t>Zmieniono nazwę</w:t>
      </w:r>
      <w:r w:rsidRPr="004042CD">
        <w:t xml:space="preserve"> inwestycji C2.1.2. z</w:t>
      </w:r>
      <w:r w:rsidRPr="004042CD">
        <w:rPr>
          <w:b/>
        </w:rPr>
        <w:t xml:space="preserve"> </w:t>
      </w:r>
      <w:r w:rsidRPr="004042CD">
        <w:rPr>
          <w:bCs/>
        </w:rPr>
        <w:t>„Cyfrowa infrastruktura szkół”</w:t>
      </w:r>
      <w:r w:rsidRPr="004042CD">
        <w:t xml:space="preserve"> na „Wyrównanie poziomu wyposażenia szkół w przenośne urządzenia multimedialne”.</w:t>
      </w:r>
    </w:p>
    <w:p w:rsidR="004042CD" w:rsidRDefault="004042CD" w:rsidP="005D423D">
      <w:pPr>
        <w:pStyle w:val="Akapitzlist"/>
        <w:numPr>
          <w:ilvl w:val="0"/>
          <w:numId w:val="15"/>
        </w:numPr>
        <w:spacing w:after="240"/>
        <w:ind w:left="357" w:hanging="357"/>
        <w:jc w:val="both"/>
      </w:pPr>
      <w:r>
        <w:t>W części pożyczkowej projektu KPO z 30.04.br. pojawiła się nowa reforma  C2.2. Reforma podstaw cyfryzacji systemu oświaty i wychowania (w tym inwestycja C2.2.1. Rozwój cyfrowego otoczenia procesu wychowania przedszkolnego i kształcenia ogólnego).</w:t>
      </w:r>
    </w:p>
    <w:p w:rsidR="004042CD" w:rsidRPr="004042CD" w:rsidRDefault="004042CD" w:rsidP="005D423D">
      <w:pPr>
        <w:pStyle w:val="Akapitzlist"/>
        <w:spacing w:after="240"/>
        <w:ind w:left="357"/>
        <w:jc w:val="both"/>
      </w:pPr>
    </w:p>
    <w:p w:rsidR="004042CD" w:rsidRPr="004042CD" w:rsidRDefault="004042CD" w:rsidP="005D423D">
      <w:pPr>
        <w:pStyle w:val="Akapitzlist"/>
        <w:numPr>
          <w:ilvl w:val="0"/>
          <w:numId w:val="13"/>
        </w:numPr>
        <w:ind w:left="720"/>
        <w:jc w:val="both"/>
        <w:rPr>
          <w:b/>
          <w:iCs/>
          <w:color w:val="0070C0"/>
        </w:rPr>
      </w:pPr>
      <w:r>
        <w:rPr>
          <w:b/>
          <w:iCs/>
          <w:color w:val="0070C0"/>
        </w:rPr>
        <w:t>KOMPONENT D</w:t>
      </w:r>
      <w:r w:rsidRPr="004042CD">
        <w:rPr>
          <w:b/>
          <w:iCs/>
          <w:color w:val="0070C0"/>
        </w:rPr>
        <w:t xml:space="preserve"> „Efektywność, dostępność i jakość systemu ochrony zdrowia”:</w:t>
      </w:r>
    </w:p>
    <w:p w:rsidR="000E46FF" w:rsidRDefault="004042CD" w:rsidP="005D423D">
      <w:pPr>
        <w:spacing w:after="240"/>
        <w:jc w:val="both"/>
        <w:rPr>
          <w:b/>
        </w:rPr>
      </w:pPr>
      <w:r w:rsidRPr="004042CD">
        <w:rPr>
          <w:b/>
        </w:rPr>
        <w:t>Najistotniejsze uwagi lubuskie do Komponentu D i opis uwzględnienia:</w:t>
      </w:r>
    </w:p>
    <w:p w:rsidR="004042CD" w:rsidRDefault="004042CD" w:rsidP="005D423D">
      <w:pPr>
        <w:pStyle w:val="Akapitzlist"/>
        <w:numPr>
          <w:ilvl w:val="0"/>
          <w:numId w:val="16"/>
        </w:numPr>
        <w:ind w:left="357" w:hanging="357"/>
        <w:jc w:val="both"/>
      </w:pPr>
      <w:r w:rsidRPr="004042CD">
        <w:t>Wniosek o rozszerzenie katalogu wsparcia inwestycji D.1.1 o doposażenie podmiotów leczniczych w pojazdy transportu sanitarnego – nie uwzględniono</w:t>
      </w:r>
    </w:p>
    <w:p w:rsidR="004042CD" w:rsidRDefault="004042CD" w:rsidP="005D423D">
      <w:pPr>
        <w:pStyle w:val="Akapitzlist"/>
        <w:numPr>
          <w:ilvl w:val="0"/>
          <w:numId w:val="16"/>
        </w:numPr>
        <w:ind w:left="357" w:hanging="357"/>
        <w:jc w:val="both"/>
      </w:pPr>
      <w:r>
        <w:t>Postulat o dopisanie ratownictwa</w:t>
      </w:r>
      <w:r w:rsidRPr="004042CD">
        <w:t xml:space="preserve"> medyczne</w:t>
      </w:r>
      <w:r>
        <w:t>go</w:t>
      </w:r>
      <w:r w:rsidRPr="004042CD">
        <w:t xml:space="preserve"> </w:t>
      </w:r>
      <w:r>
        <w:t>d</w:t>
      </w:r>
      <w:r w:rsidRPr="004042CD">
        <w:t>o obszarów priorytetowych w ramach inwestycji D1.1.1. „Rozwój i modernizacja infrastruktury podmiotów leczniczych”</w:t>
      </w:r>
      <w:r>
        <w:t xml:space="preserve"> </w:t>
      </w:r>
      <w:r w:rsidRPr="004042CD">
        <w:t>– nie uwzględniono</w:t>
      </w:r>
    </w:p>
    <w:p w:rsidR="004042CD" w:rsidRDefault="004042CD" w:rsidP="005D423D">
      <w:pPr>
        <w:jc w:val="both"/>
        <w:rPr>
          <w:b/>
        </w:rPr>
      </w:pPr>
    </w:p>
    <w:p w:rsidR="005D423D" w:rsidRDefault="005D423D" w:rsidP="005D423D">
      <w:pPr>
        <w:jc w:val="both"/>
        <w:rPr>
          <w:b/>
        </w:rPr>
      </w:pPr>
    </w:p>
    <w:p w:rsidR="005D423D" w:rsidRDefault="005D423D" w:rsidP="005D423D">
      <w:pPr>
        <w:jc w:val="both"/>
        <w:rPr>
          <w:b/>
        </w:rPr>
      </w:pPr>
    </w:p>
    <w:p w:rsidR="004042CD" w:rsidRDefault="004042CD" w:rsidP="005D423D">
      <w:pPr>
        <w:jc w:val="both"/>
        <w:rPr>
          <w:b/>
        </w:rPr>
      </w:pPr>
      <w:r w:rsidRPr="004042CD">
        <w:rPr>
          <w:b/>
        </w:rPr>
        <w:t>Pozostałe istotne zmiany w stosunku do wersji pierwotnej:</w:t>
      </w:r>
    </w:p>
    <w:p w:rsidR="00694723" w:rsidRDefault="00512243" w:rsidP="005D423D">
      <w:pPr>
        <w:pStyle w:val="Akapitzlist"/>
        <w:numPr>
          <w:ilvl w:val="0"/>
          <w:numId w:val="17"/>
        </w:numPr>
        <w:ind w:left="357" w:hanging="357"/>
        <w:jc w:val="both"/>
      </w:pPr>
      <w:r w:rsidRPr="00A33FD6">
        <w:rPr>
          <w:b/>
        </w:rPr>
        <w:t>Zwiększono pulę</w:t>
      </w:r>
      <w:r w:rsidR="00694723" w:rsidRPr="00A33FD6">
        <w:rPr>
          <w:b/>
        </w:rPr>
        <w:t xml:space="preserve"> pieniędzy na wsparcie i modernizację placówek leczniczych. Na ten cel w sumie trafi  2,1 mld euro (w tym 700 mln euro trafi na wsparcie szpitali powiatowych).</w:t>
      </w:r>
      <w:r w:rsidR="00694723">
        <w:t xml:space="preserve"> </w:t>
      </w:r>
      <w:r w:rsidR="00694723" w:rsidRPr="00694723">
        <w:t>Na rozwój i modernizacja infrastruktury podmiotów leczniczych na poziomie powiatowym przeznaczono ponadto 150 mln z części pożyczkowej</w:t>
      </w:r>
      <w:r>
        <w:t xml:space="preserve"> (w ramach nowej reformy </w:t>
      </w:r>
      <w:r w:rsidRPr="00512243">
        <w:t>D1.2. „Zwiększenie efektywności, dostępności i jakości świadczeń zdrowotnych podmiotów leczniczyc</w:t>
      </w:r>
      <w:r>
        <w:t>h na poziomie powiatowym” - inwestycja</w:t>
      </w:r>
      <w:r w:rsidRPr="00512243">
        <w:t xml:space="preserve"> D1.2.1. Rozwój i modernizacja infrastruktury podmiotów leczniczych na poziomie powiatowym.</w:t>
      </w:r>
      <w:r>
        <w:t>)</w:t>
      </w:r>
    </w:p>
    <w:p w:rsidR="00694723" w:rsidRDefault="00694723" w:rsidP="005D423D">
      <w:pPr>
        <w:pStyle w:val="Akapitzlist"/>
        <w:numPr>
          <w:ilvl w:val="0"/>
          <w:numId w:val="17"/>
        </w:numPr>
        <w:ind w:left="357" w:hanging="357"/>
        <w:jc w:val="both"/>
      </w:pPr>
      <w:r w:rsidRPr="00A33FD6">
        <w:rPr>
          <w:b/>
        </w:rPr>
        <w:t>Zwiększono do 700 mln euro środki wspierające rozwój i zwiększenie liczby kadr medycznych.</w:t>
      </w:r>
      <w:r w:rsidRPr="00694723">
        <w:t xml:space="preserve"> Planowane są między innymi działania w zakresie wdrożenia systemu zachęt do podejmowania i kontynuowania studiów na wybranych kierunkach, modernizacji bazy dydaktycznej dla kształcenia przedklinicznego na podstawie planów rozwoju bazy dydaktycznej, wdrożenie rozwiązań z zakresu procesu dydaktycznego.</w:t>
      </w:r>
    </w:p>
    <w:p w:rsidR="00694723" w:rsidRDefault="00694723" w:rsidP="005D423D">
      <w:pPr>
        <w:pStyle w:val="Akapitzlist"/>
        <w:numPr>
          <w:ilvl w:val="0"/>
          <w:numId w:val="17"/>
        </w:numPr>
        <w:ind w:left="357" w:hanging="357"/>
        <w:jc w:val="both"/>
      </w:pPr>
      <w:r w:rsidRPr="00694723">
        <w:t>Doprecyzowano warunki, na jakich będzie udzielane wsparcie w podmiotach leczniczych w zakresie inwestycji oraz rozszerzono katalog potencjalnych wnioskodawców o podmioty lecznicze inne niż podmioty o charakterze ponadregionalnym i regionalnym.</w:t>
      </w:r>
    </w:p>
    <w:p w:rsidR="004042CD" w:rsidRDefault="004042CD" w:rsidP="005D423D">
      <w:pPr>
        <w:pStyle w:val="Akapitzlist"/>
        <w:numPr>
          <w:ilvl w:val="0"/>
          <w:numId w:val="17"/>
        </w:numPr>
        <w:ind w:left="357" w:hanging="357"/>
        <w:jc w:val="both"/>
      </w:pPr>
      <w:r>
        <w:t>Zmieniono nazwę</w:t>
      </w:r>
      <w:r w:rsidRPr="004042CD">
        <w:t xml:space="preserve"> inwestycji D1.1.1. z „</w:t>
      </w:r>
      <w:r w:rsidRPr="004042CD">
        <w:rPr>
          <w:bCs/>
        </w:rPr>
        <w:t>Rozwój i modernizacja infrastruktury podmiotów leczniczych”</w:t>
      </w:r>
      <w:r w:rsidRPr="004042CD">
        <w:rPr>
          <w:b/>
        </w:rPr>
        <w:t xml:space="preserve"> </w:t>
      </w:r>
      <w:r w:rsidRPr="004042CD">
        <w:t>na „Rozwój i modernizacja infrastruktury centrów opieki wysokospecjalistycznej i innych podmiotów leczniczych”.</w:t>
      </w:r>
    </w:p>
    <w:p w:rsidR="004042CD" w:rsidRDefault="004042CD" w:rsidP="005D423D">
      <w:pPr>
        <w:pStyle w:val="Akapitzlist"/>
        <w:numPr>
          <w:ilvl w:val="0"/>
          <w:numId w:val="17"/>
        </w:numPr>
        <w:ind w:left="357" w:hanging="357"/>
        <w:jc w:val="both"/>
      </w:pPr>
      <w:r w:rsidRPr="004042CD">
        <w:t>Dopisano: poprawę efektywności funkcjonowania centrów</w:t>
      </w:r>
      <w:r>
        <w:t xml:space="preserve"> opieki wysokospecjalistycznej, </w:t>
      </w:r>
      <w:r w:rsidRPr="004042CD">
        <w:t>leczenie uzdrowiskowe i rehabilitację.</w:t>
      </w:r>
    </w:p>
    <w:p w:rsidR="004042CD" w:rsidRDefault="004042CD" w:rsidP="005D423D">
      <w:pPr>
        <w:pStyle w:val="Akapitzlist"/>
        <w:ind w:left="357"/>
        <w:jc w:val="both"/>
      </w:pPr>
    </w:p>
    <w:p w:rsidR="004042CD" w:rsidRPr="004042CD" w:rsidRDefault="004042CD" w:rsidP="005D423D">
      <w:pPr>
        <w:jc w:val="both"/>
        <w:rPr>
          <w:b/>
        </w:rPr>
      </w:pPr>
      <w:r w:rsidRPr="004042CD">
        <w:rPr>
          <w:b/>
        </w:rPr>
        <w:t>Dodatkowe uwagi:</w:t>
      </w:r>
    </w:p>
    <w:p w:rsidR="004042CD" w:rsidRDefault="004042CD" w:rsidP="005D423D">
      <w:pPr>
        <w:pStyle w:val="Akapitzlist"/>
        <w:numPr>
          <w:ilvl w:val="0"/>
          <w:numId w:val="18"/>
        </w:numPr>
        <w:ind w:left="357" w:hanging="357"/>
        <w:jc w:val="both"/>
      </w:pPr>
      <w:r w:rsidRPr="004042CD">
        <w:t>Bez zmian pozostał zapis, że urzędy marszałkowskie i wojewodowie to potencjalni uczestnicy wdrażania inwestycji, a liderem odpowiedzialnym za realizację przedsięwzięć będzie  Ministerstwo Zdrowia.</w:t>
      </w:r>
    </w:p>
    <w:p w:rsidR="004042CD" w:rsidRDefault="004042CD" w:rsidP="005D423D">
      <w:pPr>
        <w:pStyle w:val="Akapitzlist"/>
        <w:numPr>
          <w:ilvl w:val="0"/>
          <w:numId w:val="18"/>
        </w:numPr>
        <w:ind w:left="357" w:hanging="357"/>
        <w:jc w:val="both"/>
      </w:pPr>
      <w:r w:rsidRPr="004042CD">
        <w:t xml:space="preserve">Nadal przewiduje się </w:t>
      </w:r>
      <w:r w:rsidRPr="00A33FD6">
        <w:rPr>
          <w:b/>
        </w:rPr>
        <w:t>nabór projektów w trybie pozakonkursowym i/lub konkursowym</w:t>
      </w:r>
      <w:r w:rsidRPr="004042CD">
        <w:t xml:space="preserve"> poprzedzony procesem identyfikacji i zasadności realizacji inwestycji kwalifikujących się do udzielenia wsparcia</w:t>
      </w:r>
    </w:p>
    <w:p w:rsidR="00F9666B" w:rsidRDefault="00694723" w:rsidP="005D423D">
      <w:pPr>
        <w:pStyle w:val="Akapitzlist"/>
        <w:numPr>
          <w:ilvl w:val="0"/>
          <w:numId w:val="18"/>
        </w:numPr>
        <w:ind w:left="357" w:hanging="357"/>
        <w:jc w:val="both"/>
      </w:pPr>
      <w:r w:rsidRPr="00694723">
        <w:t>W przypadku wszystkich projektów, niezależnie od trybu wyboru, przyjęte zostaną jasne, precyzyjnie sformułowane i powszechnie dostępne kryteria oceny, na podstawie których przyznane zostanie dofinansowanie.</w:t>
      </w:r>
    </w:p>
    <w:p w:rsidR="000A077A" w:rsidRPr="000A077A" w:rsidRDefault="000A077A" w:rsidP="005D423D">
      <w:pPr>
        <w:pStyle w:val="Akapitzlist"/>
        <w:ind w:left="357"/>
        <w:jc w:val="both"/>
      </w:pPr>
    </w:p>
    <w:p w:rsidR="005E61C9" w:rsidRPr="004042CD" w:rsidRDefault="005E61C9" w:rsidP="005D423D">
      <w:pPr>
        <w:pStyle w:val="Akapitzlist"/>
        <w:numPr>
          <w:ilvl w:val="0"/>
          <w:numId w:val="13"/>
        </w:numPr>
        <w:ind w:left="720"/>
        <w:jc w:val="both"/>
        <w:rPr>
          <w:b/>
          <w:iCs/>
          <w:color w:val="0070C0"/>
        </w:rPr>
      </w:pPr>
      <w:r w:rsidRPr="004042CD">
        <w:rPr>
          <w:b/>
          <w:iCs/>
          <w:color w:val="0070C0"/>
        </w:rPr>
        <w:t>KOMPO</w:t>
      </w:r>
      <w:r w:rsidR="00EF5E37" w:rsidRPr="004042CD">
        <w:rPr>
          <w:b/>
          <w:iCs/>
          <w:color w:val="0070C0"/>
        </w:rPr>
        <w:t>NENT</w:t>
      </w:r>
      <w:r w:rsidR="00CE63FA" w:rsidRPr="004042CD">
        <w:rPr>
          <w:b/>
          <w:iCs/>
          <w:color w:val="0070C0"/>
        </w:rPr>
        <w:t xml:space="preserve"> E „Zielona inteligentna mobilność”</w:t>
      </w:r>
      <w:r w:rsidRPr="004042CD">
        <w:rPr>
          <w:b/>
          <w:iCs/>
          <w:color w:val="0070C0"/>
        </w:rPr>
        <w:t>:</w:t>
      </w:r>
    </w:p>
    <w:p w:rsidR="00235E07" w:rsidRDefault="00235E07" w:rsidP="005D423D">
      <w:pPr>
        <w:jc w:val="both"/>
        <w:rPr>
          <w:b/>
          <w:iCs/>
        </w:rPr>
      </w:pPr>
      <w:r w:rsidRPr="00235E07">
        <w:rPr>
          <w:b/>
          <w:iCs/>
        </w:rPr>
        <w:t xml:space="preserve">Najistotniejsze uwagi lubuskie do Komponentu </w:t>
      </w:r>
      <w:r>
        <w:rPr>
          <w:b/>
          <w:iCs/>
        </w:rPr>
        <w:t>E</w:t>
      </w:r>
      <w:r w:rsidRPr="005E61C9">
        <w:rPr>
          <w:b/>
          <w:iCs/>
        </w:rPr>
        <w:t xml:space="preserve"> i opis uwzględnienia:</w:t>
      </w:r>
    </w:p>
    <w:p w:rsidR="00235E07" w:rsidRDefault="00235E07" w:rsidP="005D423D">
      <w:pPr>
        <w:pStyle w:val="Akapitzlist"/>
        <w:numPr>
          <w:ilvl w:val="0"/>
          <w:numId w:val="5"/>
        </w:numPr>
        <w:ind w:left="340"/>
        <w:jc w:val="both"/>
        <w:rPr>
          <w:iCs/>
        </w:rPr>
      </w:pPr>
      <w:r w:rsidRPr="00463F00">
        <w:rPr>
          <w:iCs/>
        </w:rPr>
        <w:t>E2.1.1. Linie kolejowe</w:t>
      </w:r>
    </w:p>
    <w:p w:rsidR="00235E07" w:rsidRDefault="00235E07" w:rsidP="005D423D">
      <w:pPr>
        <w:ind w:left="340"/>
        <w:jc w:val="both"/>
        <w:rPr>
          <w:iCs/>
        </w:rPr>
      </w:pPr>
      <w:r w:rsidRPr="00463F00">
        <w:rPr>
          <w:iCs/>
        </w:rPr>
        <w:t>W przypadku inwestycji dot. linii kolejowych wskazywaliśmy, że z dokumentu powinno wynikać, które konkretnie linie kolejowe są planowane do modernizacji w ramach KPO. Wnioskowaliśmy również o dopisanie współpracy z Urzędami Marszałkowskimi w opisie wdrażania inwestycji dot. linii kolejowych</w:t>
      </w:r>
      <w:r>
        <w:rPr>
          <w:iCs/>
        </w:rPr>
        <w:t xml:space="preserve"> o znaczeniu regionalnym</w:t>
      </w:r>
      <w:r w:rsidRPr="00463F00">
        <w:rPr>
          <w:iCs/>
        </w:rPr>
        <w:t xml:space="preserve"> (również w zakresie wyboru linii do dofinansowania </w:t>
      </w:r>
      <w:r>
        <w:rPr>
          <w:iCs/>
        </w:rPr>
        <w:br/>
      </w:r>
      <w:r w:rsidRPr="00463F00">
        <w:rPr>
          <w:iCs/>
        </w:rPr>
        <w:t>w ramach KPO).</w:t>
      </w:r>
    </w:p>
    <w:p w:rsidR="00235E07" w:rsidRDefault="00235E07" w:rsidP="005D423D">
      <w:pPr>
        <w:jc w:val="both"/>
        <w:rPr>
          <w:iCs/>
        </w:rPr>
      </w:pPr>
      <w:r w:rsidRPr="00A33FD6">
        <w:rPr>
          <w:b/>
          <w:iCs/>
        </w:rPr>
        <w:t>Współpraca z Urzędami Marszałkowskimi nie została wprost wskazana</w:t>
      </w:r>
      <w:r w:rsidRPr="00463F00">
        <w:rPr>
          <w:iCs/>
        </w:rPr>
        <w:t xml:space="preserve"> w opisie wdrażania inwestycji. Mają być one realizowane przez CPK sp. z o.o., PKP PLK S.A., oraz innych zarządców </w:t>
      </w:r>
      <w:r w:rsidRPr="00463F00">
        <w:rPr>
          <w:iCs/>
        </w:rPr>
        <w:lastRenderedPageBreak/>
        <w:t>infrastruktury kolejowej.</w:t>
      </w:r>
      <w:r w:rsidRPr="00106A5C">
        <w:t xml:space="preserve"> </w:t>
      </w:r>
      <w:r w:rsidRPr="00106A5C">
        <w:rPr>
          <w:iCs/>
        </w:rPr>
        <w:t>Projekty</w:t>
      </w:r>
      <w:r>
        <w:rPr>
          <w:iCs/>
        </w:rPr>
        <w:t xml:space="preserve"> dot. linii kolejowych</w:t>
      </w:r>
      <w:r w:rsidRPr="00106A5C">
        <w:rPr>
          <w:iCs/>
        </w:rPr>
        <w:t xml:space="preserve"> zostaną wskazane w trybie indywidualnym (ze zbioru projektów inwestycyjnych PKP Polskie Linie Kolejowe S.A. do realizacji w perspektywie 2021-</w:t>
      </w:r>
      <w:r>
        <w:rPr>
          <w:iCs/>
        </w:rPr>
        <w:t>2027) na podstawie określonych wymienionych kryteriów, w tym dojrzałości projektu gwarantującego</w:t>
      </w:r>
      <w:r w:rsidRPr="00106A5C">
        <w:rPr>
          <w:iCs/>
        </w:rPr>
        <w:t xml:space="preserve"> zakończenie realizacji</w:t>
      </w:r>
      <w:r>
        <w:rPr>
          <w:iCs/>
        </w:rPr>
        <w:t xml:space="preserve"> i rozliczenie do końca 2026 r.</w:t>
      </w:r>
      <w:r w:rsidRPr="00235E07">
        <w:t xml:space="preserve"> </w:t>
      </w:r>
      <w:r>
        <w:rPr>
          <w:iCs/>
        </w:rPr>
        <w:t>Ś</w:t>
      </w:r>
      <w:r w:rsidRPr="00235E07">
        <w:rPr>
          <w:iCs/>
        </w:rPr>
        <w:t>rodki na linie kolejowe</w:t>
      </w:r>
      <w:r>
        <w:rPr>
          <w:iCs/>
        </w:rPr>
        <w:t xml:space="preserve"> zwiększono</w:t>
      </w:r>
      <w:r w:rsidRPr="00235E07">
        <w:rPr>
          <w:iCs/>
        </w:rPr>
        <w:t xml:space="preserve"> z 2 092 mln euro na 2 392 mln euro (cz. grantowa RRF).</w:t>
      </w:r>
    </w:p>
    <w:p w:rsidR="00235E07" w:rsidRDefault="00235E07" w:rsidP="005D423D">
      <w:pPr>
        <w:pStyle w:val="Akapitzlist"/>
        <w:numPr>
          <w:ilvl w:val="0"/>
          <w:numId w:val="5"/>
        </w:numPr>
        <w:ind w:left="0"/>
        <w:jc w:val="both"/>
        <w:rPr>
          <w:iCs/>
        </w:rPr>
      </w:pPr>
      <w:r w:rsidRPr="00106A5C">
        <w:rPr>
          <w:iCs/>
        </w:rPr>
        <w:t>E2.1.2. Pasażerski tabor kolejowy</w:t>
      </w:r>
    </w:p>
    <w:p w:rsidR="00235E07" w:rsidRDefault="00235E07" w:rsidP="005D423D">
      <w:pPr>
        <w:jc w:val="both"/>
        <w:rPr>
          <w:iCs/>
        </w:rPr>
      </w:pPr>
      <w:r>
        <w:rPr>
          <w:iCs/>
        </w:rPr>
        <w:t>Wnioskowaliśmy o</w:t>
      </w:r>
      <w:r w:rsidRPr="0038690D">
        <w:rPr>
          <w:iCs/>
        </w:rPr>
        <w:t xml:space="preserve"> procentowe podzielenie alokacji</w:t>
      </w:r>
      <w:r>
        <w:rPr>
          <w:iCs/>
        </w:rPr>
        <w:t xml:space="preserve"> dotacyjnej</w:t>
      </w:r>
      <w:r w:rsidRPr="0038690D">
        <w:rPr>
          <w:iCs/>
        </w:rPr>
        <w:t xml:space="preserve"> na tabor krajowy i regionalny zgodnie z ich udzia</w:t>
      </w:r>
      <w:r>
        <w:rPr>
          <w:iCs/>
        </w:rPr>
        <w:t>łem w przewozach pasażerskich</w:t>
      </w:r>
      <w:r w:rsidRPr="0038690D">
        <w:rPr>
          <w:iCs/>
        </w:rPr>
        <w:t>.</w:t>
      </w:r>
      <w:r>
        <w:rPr>
          <w:iCs/>
        </w:rPr>
        <w:t xml:space="preserve"> Wskazywaliśmy również, że k</w:t>
      </w:r>
      <w:r w:rsidRPr="0038690D">
        <w:rPr>
          <w:iCs/>
        </w:rPr>
        <w:t>wota wspa</w:t>
      </w:r>
      <w:r>
        <w:rPr>
          <w:iCs/>
        </w:rPr>
        <w:t xml:space="preserve">rcia na tabor </w:t>
      </w:r>
      <w:r w:rsidRPr="0038690D">
        <w:rPr>
          <w:iCs/>
        </w:rPr>
        <w:t>jest zdecydowanie niewystarczająca.</w:t>
      </w:r>
    </w:p>
    <w:p w:rsidR="00235E07" w:rsidRDefault="00235E07" w:rsidP="005D423D">
      <w:pPr>
        <w:jc w:val="both"/>
        <w:rPr>
          <w:iCs/>
        </w:rPr>
      </w:pPr>
      <w:r w:rsidRPr="00A33FD6">
        <w:rPr>
          <w:b/>
          <w:iCs/>
        </w:rPr>
        <w:t>Alokacje w części grantowej na pasażerski tabor kolejowy znacząco zwiększono z 399 mln do 965 mln EURO</w:t>
      </w:r>
      <w:r>
        <w:rPr>
          <w:iCs/>
        </w:rPr>
        <w:t xml:space="preserve"> </w:t>
      </w:r>
      <w:r w:rsidRPr="0038690D">
        <w:rPr>
          <w:iCs/>
        </w:rPr>
        <w:t>(z czego 482,5 mln euro – dofinansowanie zakupu 38 składów PUSH-PULL</w:t>
      </w:r>
      <w:r>
        <w:rPr>
          <w:iCs/>
        </w:rPr>
        <w:t xml:space="preserve"> na przewozy międzywojewódzkie - </w:t>
      </w:r>
      <w:proofErr w:type="spellStart"/>
      <w:r>
        <w:rPr>
          <w:iCs/>
        </w:rPr>
        <w:t>PKPIntercity</w:t>
      </w:r>
      <w:proofErr w:type="spellEnd"/>
      <w:r w:rsidRPr="0038690D">
        <w:rPr>
          <w:iCs/>
        </w:rPr>
        <w:t xml:space="preserve">, </w:t>
      </w:r>
      <w:r w:rsidRPr="00A33FD6">
        <w:rPr>
          <w:b/>
          <w:iCs/>
        </w:rPr>
        <w:t>482,5 mln euro – kwota do wydatkowania w ramach procedury konkursowej na tabor regionalny).</w:t>
      </w:r>
      <w:r>
        <w:rPr>
          <w:iCs/>
        </w:rPr>
        <w:t xml:space="preserve"> Dopisano, że zostanie sfinansowanych ok. 70 pociągów do przewozu regionalnego,</w:t>
      </w:r>
      <w:r w:rsidRPr="0038690D">
        <w:rPr>
          <w:iCs/>
        </w:rPr>
        <w:t xml:space="preserve"> w ramach otwartego</w:t>
      </w:r>
      <w:r>
        <w:rPr>
          <w:iCs/>
        </w:rPr>
        <w:t xml:space="preserve">, konkurencyjnego postępowania </w:t>
      </w:r>
      <w:r w:rsidRPr="0038690D">
        <w:rPr>
          <w:iCs/>
        </w:rPr>
        <w:t>konkursowego zapewniającego równy udział wszystkich zainteresowanych podmiotów spełniających kryteria</w:t>
      </w:r>
      <w:r>
        <w:rPr>
          <w:iCs/>
        </w:rPr>
        <w:t xml:space="preserve"> (m.in. gotowość projektu). D</w:t>
      </w:r>
      <w:r w:rsidRPr="0038690D">
        <w:rPr>
          <w:iCs/>
        </w:rPr>
        <w:t>odatkowe środki dla taboru regionalnego zostaną alokowane w ramach instrumentu pożyczkowego KPO</w:t>
      </w:r>
      <w:r>
        <w:rPr>
          <w:iCs/>
        </w:rPr>
        <w:t>. Tabor do przewozów międzywojewódzkich będzie dofinansowany w KPO wyłącznie w ramach grantów. W kontekście wielokrotnie większego udziału przewozów regionalnych w stosunku do przewozów międzywojewódzkich, podział części grantowej KPO (50%/50%) w sposób niewspółmierny uprzywilejowuje przewozy międzywojewódzkie względem regionalnych.</w:t>
      </w:r>
    </w:p>
    <w:p w:rsidR="00235E07" w:rsidRPr="00EF5E37" w:rsidRDefault="00235E07" w:rsidP="005D423D">
      <w:pPr>
        <w:pStyle w:val="Akapitzlist"/>
        <w:numPr>
          <w:ilvl w:val="0"/>
          <w:numId w:val="8"/>
        </w:numPr>
        <w:ind w:left="0"/>
        <w:jc w:val="both"/>
        <w:rPr>
          <w:iCs/>
        </w:rPr>
      </w:pPr>
      <w:r w:rsidRPr="00EF5E37">
        <w:rPr>
          <w:iCs/>
        </w:rPr>
        <w:t xml:space="preserve">E2.2.1. Bezpieczeństwo transportu </w:t>
      </w:r>
    </w:p>
    <w:p w:rsidR="00235E07" w:rsidRDefault="00235E07" w:rsidP="005D423D">
      <w:pPr>
        <w:jc w:val="both"/>
        <w:rPr>
          <w:bCs/>
          <w:iCs/>
        </w:rPr>
      </w:pPr>
      <w:r>
        <w:rPr>
          <w:bCs/>
          <w:iCs/>
        </w:rPr>
        <w:t>Postulowaliśmy, że p</w:t>
      </w:r>
      <w:r w:rsidRPr="00EF5E37">
        <w:rPr>
          <w:bCs/>
          <w:iCs/>
        </w:rPr>
        <w:t>rojekty dot. bezpieczeństwa transportu, w tym również budowy obwodnic powinny dotyczyć również dróg wojewódzkich.</w:t>
      </w:r>
    </w:p>
    <w:p w:rsidR="00235E07" w:rsidRDefault="00235E07" w:rsidP="005D423D">
      <w:pPr>
        <w:jc w:val="both"/>
        <w:rPr>
          <w:bCs/>
          <w:iCs/>
        </w:rPr>
      </w:pPr>
      <w:r>
        <w:rPr>
          <w:bCs/>
          <w:iCs/>
        </w:rPr>
        <w:t xml:space="preserve">W projekcie pozostawiono w ramach tego typu inwestycji wyłącznie drogi krajowe.  </w:t>
      </w:r>
    </w:p>
    <w:p w:rsidR="00235E07" w:rsidRDefault="00235E07" w:rsidP="005D423D">
      <w:pPr>
        <w:pStyle w:val="Akapitzlist"/>
        <w:numPr>
          <w:ilvl w:val="0"/>
          <w:numId w:val="8"/>
        </w:numPr>
        <w:ind w:left="0"/>
        <w:jc w:val="both"/>
        <w:rPr>
          <w:iCs/>
        </w:rPr>
      </w:pPr>
      <w:r w:rsidRPr="0029761F">
        <w:rPr>
          <w:iCs/>
        </w:rPr>
        <w:t xml:space="preserve">Inwestycje dotyczące celu </w:t>
      </w:r>
      <w:r>
        <w:rPr>
          <w:iCs/>
        </w:rPr>
        <w:t>E</w:t>
      </w:r>
      <w:r w:rsidRPr="0029761F">
        <w:rPr>
          <w:iCs/>
        </w:rPr>
        <w:t>1. „Zielona, inteligentna mobilność”</w:t>
      </w:r>
    </w:p>
    <w:p w:rsidR="00235E07" w:rsidRPr="00235E07" w:rsidRDefault="00235E07" w:rsidP="005D423D">
      <w:pPr>
        <w:jc w:val="both"/>
        <w:rPr>
          <w:bCs/>
          <w:iCs/>
        </w:rPr>
      </w:pPr>
      <w:r w:rsidRPr="00A33FD6">
        <w:rPr>
          <w:b/>
          <w:bCs/>
          <w:iCs/>
        </w:rPr>
        <w:t>Nie zostały uwzględnione inwestycje dotyczące regionalnego transportu rowerowego</w:t>
      </w:r>
      <w:r>
        <w:rPr>
          <w:bCs/>
          <w:iCs/>
        </w:rPr>
        <w:t xml:space="preserve">, o co wnioskowaliśmy </w:t>
      </w:r>
      <w:r w:rsidRPr="0029761F">
        <w:rPr>
          <w:bCs/>
          <w:iCs/>
        </w:rPr>
        <w:t>zgodnie ze zgłoszonym do KPO w sierpniu</w:t>
      </w:r>
      <w:r>
        <w:rPr>
          <w:bCs/>
          <w:iCs/>
        </w:rPr>
        <w:t xml:space="preserve"> lubuskim</w:t>
      </w:r>
      <w:r w:rsidRPr="0029761F">
        <w:rPr>
          <w:bCs/>
          <w:iCs/>
        </w:rPr>
        <w:t xml:space="preserve"> projektem dotyczącym </w:t>
      </w:r>
      <w:r>
        <w:rPr>
          <w:bCs/>
          <w:iCs/>
        </w:rPr>
        <w:t>budowy</w:t>
      </w:r>
      <w:r w:rsidRPr="00500B65">
        <w:rPr>
          <w:bCs/>
          <w:iCs/>
        </w:rPr>
        <w:t xml:space="preserve"> sieci głównych połączeń dla transportu rowerowego w województwie lubuskim</w:t>
      </w:r>
      <w:r>
        <w:rPr>
          <w:bCs/>
          <w:iCs/>
        </w:rPr>
        <w:t>.</w:t>
      </w:r>
    </w:p>
    <w:p w:rsidR="005D423D" w:rsidRDefault="005D423D" w:rsidP="005D423D">
      <w:pPr>
        <w:jc w:val="both"/>
        <w:rPr>
          <w:b/>
          <w:iCs/>
        </w:rPr>
      </w:pPr>
    </w:p>
    <w:p w:rsidR="00EF5E37" w:rsidRDefault="00235E07" w:rsidP="005D423D">
      <w:pPr>
        <w:jc w:val="both"/>
        <w:rPr>
          <w:b/>
          <w:iCs/>
        </w:rPr>
      </w:pPr>
      <w:r w:rsidRPr="00235E07">
        <w:rPr>
          <w:b/>
          <w:iCs/>
        </w:rPr>
        <w:t>Pozostałe istotne zmiany w stosunku do wersji pierwotnej:</w:t>
      </w:r>
    </w:p>
    <w:p w:rsidR="005E61C9" w:rsidRDefault="005E61C9" w:rsidP="005D423D">
      <w:pPr>
        <w:pStyle w:val="Akapitzlist"/>
        <w:numPr>
          <w:ilvl w:val="0"/>
          <w:numId w:val="21"/>
        </w:numPr>
        <w:ind w:left="0" w:hanging="357"/>
        <w:jc w:val="both"/>
      </w:pPr>
      <w:r>
        <w:t xml:space="preserve">Zwiększono alokację na wymianę taboru autobusowego na nisko lub zeroemisyjny do 1 131 mln euro (cz. grantowa RRF). </w:t>
      </w:r>
    </w:p>
    <w:p w:rsidR="005E61C9" w:rsidRDefault="005E61C9" w:rsidP="005D423D">
      <w:pPr>
        <w:pStyle w:val="Akapitzlist"/>
        <w:numPr>
          <w:ilvl w:val="0"/>
          <w:numId w:val="21"/>
        </w:numPr>
        <w:ind w:left="0" w:hanging="357"/>
        <w:jc w:val="both"/>
      </w:pPr>
      <w:r>
        <w:t xml:space="preserve">Dodano inwestycje w transport szynowy w miastach (200 mln euro z części pożyczkowej RRF). </w:t>
      </w:r>
    </w:p>
    <w:p w:rsidR="005E61C9" w:rsidRDefault="005E61C9" w:rsidP="005D423D">
      <w:pPr>
        <w:pStyle w:val="Akapitzlist"/>
        <w:numPr>
          <w:ilvl w:val="0"/>
          <w:numId w:val="21"/>
        </w:numPr>
        <w:ind w:left="0" w:hanging="357"/>
        <w:jc w:val="both"/>
      </w:pPr>
      <w:r>
        <w:t xml:space="preserve">Zwiększono kwotę na wsparcie zakupu pasażerskiego taboru kolejowego – krajowego i regionalnego (z 399 mln euro na 965 mln euro- część grantowa RRF). </w:t>
      </w:r>
    </w:p>
    <w:p w:rsidR="005E61C9" w:rsidRPr="00A33FD6" w:rsidRDefault="005E61C9" w:rsidP="005D423D">
      <w:pPr>
        <w:pStyle w:val="Akapitzlist"/>
        <w:numPr>
          <w:ilvl w:val="0"/>
          <w:numId w:val="21"/>
        </w:numPr>
        <w:ind w:left="0" w:hanging="357"/>
        <w:jc w:val="both"/>
        <w:rPr>
          <w:b/>
        </w:rPr>
      </w:pPr>
      <w:r>
        <w:t xml:space="preserve">Dodatkowo, wydzielono kwotę na wsparcie konkursowe dla zakupu </w:t>
      </w:r>
      <w:r w:rsidRPr="00A33FD6">
        <w:rPr>
          <w:b/>
        </w:rPr>
        <w:t xml:space="preserve">pasażerskiego taboru kolejowego szczebla regionalnego (500 mln euro z części pożyczkowej). </w:t>
      </w:r>
    </w:p>
    <w:p w:rsidR="005E61C9" w:rsidRPr="005D423D" w:rsidRDefault="005E61C9" w:rsidP="005D423D">
      <w:pPr>
        <w:pStyle w:val="Akapitzlist"/>
        <w:numPr>
          <w:ilvl w:val="0"/>
          <w:numId w:val="21"/>
        </w:numPr>
        <w:ind w:left="0" w:hanging="357"/>
        <w:jc w:val="both"/>
        <w:rPr>
          <w:b/>
          <w:iCs/>
        </w:rPr>
      </w:pPr>
      <w:r>
        <w:t xml:space="preserve">Wyraźnie podkreślono możliwość finansowania infrastruktury rowerowej w ramach Komponentu B w zakresie budowy spójnych sieci dróg rowerowych w miastach i ich obszarach funkcjonalnych </w:t>
      </w:r>
      <w:r w:rsidR="00235E07">
        <w:br/>
      </w:r>
      <w:r>
        <w:t>wraz z parkingami rowerowymi.</w:t>
      </w:r>
    </w:p>
    <w:p w:rsidR="004B0BD1" w:rsidRDefault="004B0BD1" w:rsidP="005D423D">
      <w:pPr>
        <w:jc w:val="both"/>
      </w:pPr>
      <w:bookmarkStart w:id="0" w:name="_GoBack"/>
      <w:bookmarkEnd w:id="0"/>
    </w:p>
    <w:sectPr w:rsidR="004B0BD1" w:rsidSect="0029761F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48A"/>
    <w:multiLevelType w:val="hybridMultilevel"/>
    <w:tmpl w:val="A6C8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3D1"/>
    <w:multiLevelType w:val="multilevel"/>
    <w:tmpl w:val="CBE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DF7F58"/>
    <w:multiLevelType w:val="hybridMultilevel"/>
    <w:tmpl w:val="5F6C3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161A6"/>
    <w:multiLevelType w:val="hybridMultilevel"/>
    <w:tmpl w:val="3AAE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2B80"/>
    <w:multiLevelType w:val="hybridMultilevel"/>
    <w:tmpl w:val="96D6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6430"/>
    <w:multiLevelType w:val="hybridMultilevel"/>
    <w:tmpl w:val="951E3266"/>
    <w:lvl w:ilvl="0" w:tplc="25F0E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511"/>
    <w:multiLevelType w:val="hybridMultilevel"/>
    <w:tmpl w:val="8D3A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0F3"/>
    <w:multiLevelType w:val="hybridMultilevel"/>
    <w:tmpl w:val="4050D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0449"/>
    <w:multiLevelType w:val="hybridMultilevel"/>
    <w:tmpl w:val="4CB65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343F"/>
    <w:multiLevelType w:val="hybridMultilevel"/>
    <w:tmpl w:val="2306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10F5"/>
    <w:multiLevelType w:val="hybridMultilevel"/>
    <w:tmpl w:val="8854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29F"/>
    <w:multiLevelType w:val="hybridMultilevel"/>
    <w:tmpl w:val="82CEB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A4A2E"/>
    <w:multiLevelType w:val="hybridMultilevel"/>
    <w:tmpl w:val="2A1E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C6D"/>
    <w:multiLevelType w:val="hybridMultilevel"/>
    <w:tmpl w:val="D3724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10EDD"/>
    <w:multiLevelType w:val="multilevel"/>
    <w:tmpl w:val="B2F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EC4B21"/>
    <w:multiLevelType w:val="hybridMultilevel"/>
    <w:tmpl w:val="F8F8C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13EB8"/>
    <w:multiLevelType w:val="hybridMultilevel"/>
    <w:tmpl w:val="0B20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6D10"/>
    <w:multiLevelType w:val="hybridMultilevel"/>
    <w:tmpl w:val="79A4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660F5"/>
    <w:multiLevelType w:val="hybridMultilevel"/>
    <w:tmpl w:val="C3F8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178"/>
    <w:multiLevelType w:val="hybridMultilevel"/>
    <w:tmpl w:val="1C66D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97E51"/>
    <w:multiLevelType w:val="hybridMultilevel"/>
    <w:tmpl w:val="61C8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4"/>
  </w:num>
  <w:num w:numId="5">
    <w:abstractNumId w:val="16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5"/>
  </w:num>
  <w:num w:numId="14">
    <w:abstractNumId w:val="20"/>
  </w:num>
  <w:num w:numId="15">
    <w:abstractNumId w:val="0"/>
  </w:num>
  <w:num w:numId="16">
    <w:abstractNumId w:val="19"/>
  </w:num>
  <w:num w:numId="17">
    <w:abstractNumId w:val="15"/>
  </w:num>
  <w:num w:numId="18">
    <w:abstractNumId w:val="7"/>
  </w:num>
  <w:num w:numId="19">
    <w:abstractNumId w:val="1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D7"/>
    <w:rsid w:val="000A077A"/>
    <w:rsid w:val="000E46FF"/>
    <w:rsid w:val="00106A5C"/>
    <w:rsid w:val="00235E07"/>
    <w:rsid w:val="0029761F"/>
    <w:rsid w:val="0038690D"/>
    <w:rsid w:val="004042CD"/>
    <w:rsid w:val="00427AD7"/>
    <w:rsid w:val="00463F00"/>
    <w:rsid w:val="004B0BD1"/>
    <w:rsid w:val="00500B65"/>
    <w:rsid w:val="00512243"/>
    <w:rsid w:val="005D423D"/>
    <w:rsid w:val="005E61C9"/>
    <w:rsid w:val="00694723"/>
    <w:rsid w:val="00781021"/>
    <w:rsid w:val="008A2360"/>
    <w:rsid w:val="008C3697"/>
    <w:rsid w:val="00916945"/>
    <w:rsid w:val="009B40E2"/>
    <w:rsid w:val="009D7A12"/>
    <w:rsid w:val="009E488E"/>
    <w:rsid w:val="00A33FD6"/>
    <w:rsid w:val="00A379DC"/>
    <w:rsid w:val="00BE4C44"/>
    <w:rsid w:val="00CE63FA"/>
    <w:rsid w:val="00D55080"/>
    <w:rsid w:val="00D83DC0"/>
    <w:rsid w:val="00ED374F"/>
    <w:rsid w:val="00EF5E37"/>
    <w:rsid w:val="00F06359"/>
    <w:rsid w:val="00F136BB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BDCDA-F7DA-4A67-B27A-ABCF1B3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2157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Kufka</dc:creator>
  <cp:lastModifiedBy>Nowicki Maciej</cp:lastModifiedBy>
  <cp:revision>3</cp:revision>
  <dcterms:created xsi:type="dcterms:W3CDTF">2021-05-04T13:23:00Z</dcterms:created>
  <dcterms:modified xsi:type="dcterms:W3CDTF">2021-05-04T13:34:00Z</dcterms:modified>
</cp:coreProperties>
</file>