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7A73" w14:textId="77777777" w:rsidR="003E522E" w:rsidRPr="004229E3" w:rsidRDefault="003E522E" w:rsidP="003E522E">
      <w:pPr>
        <w:pStyle w:val="Styl1"/>
      </w:pPr>
      <w:bookmarkStart w:id="0" w:name="_Toc64550965"/>
      <w:r w:rsidRPr="004229E3">
        <w:t>4. CEL STRATEGICZNY 1. Inteligentna, zielona gospodarka regionalna</w:t>
      </w:r>
      <w:bookmarkEnd w:id="0"/>
    </w:p>
    <w:p w14:paraId="453C3A96" w14:textId="77777777" w:rsidR="003E522E" w:rsidRPr="004229E3" w:rsidRDefault="003E522E" w:rsidP="003E522E">
      <w:pPr>
        <w:rPr>
          <w:rFonts w:eastAsia="Calibri"/>
          <w:szCs w:val="24"/>
        </w:rPr>
      </w:pPr>
      <w:r w:rsidRPr="004229E3">
        <w:rPr>
          <w:rFonts w:eastAsia="Calibri"/>
          <w:szCs w:val="24"/>
        </w:rPr>
        <w:t xml:space="preserve">Cel strategiczny 1. opiera się przede wszystkim na rozwoju w województwie lubuskim innowacyjnych rozwiązań w obszarze gospodarki oraz wspieraniu tego obszaru przy wykorzystaniu posiadanych potencjałów i zgodnie z zasadami tzw. zielonej gospodarki. </w:t>
      </w:r>
    </w:p>
    <w:p w14:paraId="32A057CC" w14:textId="77777777" w:rsidR="003E522E" w:rsidRPr="004229E3" w:rsidRDefault="003E522E" w:rsidP="003E522E">
      <w:pPr>
        <w:autoSpaceDE w:val="0"/>
        <w:autoSpaceDN w:val="0"/>
        <w:adjustRightInd w:val="0"/>
        <w:rPr>
          <w:rFonts w:eastAsia="Calibri"/>
          <w:szCs w:val="24"/>
        </w:rPr>
      </w:pPr>
      <w:r w:rsidRPr="004229E3">
        <w:rPr>
          <w:rFonts w:eastAsia="Calibri"/>
          <w:szCs w:val="24"/>
        </w:rPr>
        <w:t>Warunkiem poprawy gospodarczej pozycji konkurencyjnej regionu jest odpowiednia implementacja polityki innowacyjnej, obejmująca wsparcie działalności badawczo – rozwojowej oraz wzmocnienie mechanizmów transferu innowacji. Rozwój regionalnych inteligentnych specjalizacji, reindustrializacja, wsparcie sektora przedsiębiorstw i wzmocnienie atrakcyjności inwestycyjnej stworzy firmom dobre warunki rozwoju oraz poprawi ich konkurencyjność na rynkach nie tylko lokalnych, ale również krajowych i zagranicznych.</w:t>
      </w:r>
    </w:p>
    <w:p w14:paraId="4C54F5A4" w14:textId="77777777" w:rsidR="003E522E" w:rsidRPr="004229E3" w:rsidRDefault="003E522E" w:rsidP="003E522E">
      <w:pPr>
        <w:autoSpaceDE w:val="0"/>
        <w:autoSpaceDN w:val="0"/>
        <w:adjustRightInd w:val="0"/>
        <w:rPr>
          <w:rFonts w:eastAsia="Calibri"/>
          <w:szCs w:val="24"/>
        </w:rPr>
      </w:pPr>
      <w:r w:rsidRPr="004229E3">
        <w:rPr>
          <w:rFonts w:eastAsia="Calibri"/>
          <w:szCs w:val="24"/>
        </w:rPr>
        <w:t xml:space="preserve">Nie bez znaczenia dla kreowania środowiska sprzyjającego konkurencyjności gospodarki jest także odpowiedni system kształcenia oraz wysokiej jakości oferta edukacyjna szkolnictwa wyższego </w:t>
      </w:r>
      <w:r w:rsidRPr="004229E3">
        <w:rPr>
          <w:rFonts w:eastAsia="Calibri"/>
          <w:szCs w:val="24"/>
        </w:rPr>
        <w:br/>
        <w:t>i zawodowego, przystosowana do zmieniających się potrzeb rynku pracy.</w:t>
      </w:r>
    </w:p>
    <w:p w14:paraId="726067D2" w14:textId="77777777" w:rsidR="003E522E" w:rsidRPr="004229E3" w:rsidRDefault="003E522E" w:rsidP="003E522E">
      <w:pPr>
        <w:autoSpaceDE w:val="0"/>
        <w:autoSpaceDN w:val="0"/>
        <w:adjustRightInd w:val="0"/>
        <w:rPr>
          <w:rFonts w:eastAsia="Calibri"/>
          <w:szCs w:val="24"/>
        </w:rPr>
      </w:pPr>
      <w:r w:rsidRPr="004229E3">
        <w:rPr>
          <w:rFonts w:eastAsia="Calibri"/>
          <w:szCs w:val="24"/>
        </w:rPr>
        <w:t xml:space="preserve">Problemem </w:t>
      </w:r>
      <w:r>
        <w:rPr>
          <w:rFonts w:eastAsia="Calibri"/>
          <w:szCs w:val="24"/>
        </w:rPr>
        <w:t>na poziomie</w:t>
      </w:r>
      <w:r w:rsidRPr="004229E3">
        <w:rPr>
          <w:rFonts w:eastAsia="Calibri"/>
          <w:szCs w:val="24"/>
        </w:rPr>
        <w:t xml:space="preserve"> nie tylko regionaln</w:t>
      </w:r>
      <w:r>
        <w:rPr>
          <w:rFonts w:eastAsia="Calibri"/>
          <w:szCs w:val="24"/>
        </w:rPr>
        <w:t>ym</w:t>
      </w:r>
      <w:r w:rsidRPr="004229E3">
        <w:rPr>
          <w:rFonts w:eastAsia="Calibri"/>
          <w:szCs w:val="24"/>
        </w:rPr>
        <w:t xml:space="preserve">, ale </w:t>
      </w:r>
      <w:r>
        <w:rPr>
          <w:rFonts w:eastAsia="Calibri"/>
          <w:szCs w:val="24"/>
        </w:rPr>
        <w:t xml:space="preserve">i </w:t>
      </w:r>
      <w:r w:rsidRPr="004229E3">
        <w:rPr>
          <w:rFonts w:eastAsia="Calibri"/>
          <w:szCs w:val="24"/>
        </w:rPr>
        <w:t>globaln</w:t>
      </w:r>
      <w:r>
        <w:rPr>
          <w:rFonts w:eastAsia="Calibri"/>
          <w:szCs w:val="24"/>
        </w:rPr>
        <w:t>ym</w:t>
      </w:r>
      <w:r w:rsidRPr="004229E3">
        <w:rPr>
          <w:rFonts w:eastAsia="Calibri"/>
          <w:szCs w:val="24"/>
        </w:rPr>
        <w:t xml:space="preserve">, jest kryzys zasobów naturalnych </w:t>
      </w:r>
      <w:r w:rsidRPr="004229E3">
        <w:rPr>
          <w:rFonts w:eastAsia="Calibri"/>
          <w:szCs w:val="24"/>
        </w:rPr>
        <w:br/>
        <w:t>i zanieczyszczenie środowiska. Wychodząc naprzeciw wyzwaniom, jakie stawia przed nami konieczność zmiany dotychczasowego sposobu gospodarowania zasobami, Lubuskie stawia sobie za cel zapewnienie dobrobytu mieszkańcom przy jednoczesnej dbałości o dobry stan środowiska, czyli przejście do modelu tzw. zielonej gospodarki. Dobre warunki przyrodnicze,</w:t>
      </w:r>
      <w:r w:rsidRPr="004229E3">
        <w:rPr>
          <w:rFonts w:ascii="Calibri" w:eastAsia="Calibri" w:hAnsi="Calibri"/>
          <w:sz w:val="22"/>
        </w:rPr>
        <w:t xml:space="preserve"> </w:t>
      </w:r>
      <w:r w:rsidRPr="004229E3">
        <w:rPr>
          <w:rFonts w:eastAsia="Calibri"/>
          <w:szCs w:val="24"/>
        </w:rPr>
        <w:t>dążenie do gospodarki niskoemisyjnej i wdrożenie ekologicznych rozwiązań wpłyną również na rozwój rolnictwa, zwłaszcza ekologicznego oraz sprzyjać będą różnorodności i konkurencyjności produkcji rolnej. Lubuskie produkty regionalne (w tym rodzime wina) zyskają zwolenników w kraju i za granicą.</w:t>
      </w:r>
      <w:r w:rsidRPr="004229E3">
        <w:t xml:space="preserve"> Przewidziano również działania skierowane do lubuskich firm dotkniętych skutkami pandemii COVID-19.</w:t>
      </w:r>
    </w:p>
    <w:p w14:paraId="777BDBEC" w14:textId="77777777" w:rsidR="003E522E" w:rsidRPr="004229E3" w:rsidRDefault="003E522E" w:rsidP="003E522E">
      <w:pPr>
        <w:autoSpaceDE w:val="0"/>
        <w:autoSpaceDN w:val="0"/>
        <w:adjustRightInd w:val="0"/>
      </w:pPr>
      <w:r w:rsidRPr="004229E3">
        <w:rPr>
          <w:rFonts w:eastAsia="Calibri"/>
          <w:szCs w:val="24"/>
        </w:rPr>
        <w:t xml:space="preserve">Ważną w lubuskiej „zielonej krainie” gałęzią gospodarki jest turystyka, której rozwój przyniesie wymierne efekty ekonomiczne i wizerunkowe. </w:t>
      </w:r>
    </w:p>
    <w:p w14:paraId="65B0D7A8" w14:textId="77777777" w:rsidR="003E522E" w:rsidRPr="004229E3" w:rsidRDefault="003E522E" w:rsidP="003E522E">
      <w:pPr>
        <w:pStyle w:val="Styl2"/>
        <w:rPr>
          <w:color w:val="auto"/>
        </w:rPr>
      </w:pPr>
      <w:bookmarkStart w:id="1" w:name="_Toc64550966"/>
      <w:r w:rsidRPr="004229E3">
        <w:rPr>
          <w:color w:val="auto"/>
        </w:rPr>
        <w:t>4.1 Cele operacyjne</w:t>
      </w:r>
      <w:bookmarkEnd w:id="1"/>
    </w:p>
    <w:p w14:paraId="4C4E29AA" w14:textId="77777777" w:rsidR="003E522E" w:rsidRPr="004229E3" w:rsidRDefault="003E522E" w:rsidP="003E522E">
      <w:pPr>
        <w:pStyle w:val="Legenda"/>
        <w:keepNext/>
        <w:rPr>
          <w:b w:val="0"/>
          <w:sz w:val="22"/>
          <w:szCs w:val="22"/>
        </w:rPr>
      </w:pPr>
      <w:bookmarkStart w:id="2" w:name="_Toc64550207"/>
      <w:r w:rsidRPr="004229E3">
        <w:rPr>
          <w:sz w:val="22"/>
          <w:szCs w:val="22"/>
        </w:rPr>
        <w:t xml:space="preserve">Rysunek </w:t>
      </w:r>
      <w:r w:rsidRPr="004229E3">
        <w:rPr>
          <w:sz w:val="22"/>
          <w:szCs w:val="22"/>
        </w:rPr>
        <w:fldChar w:fldCharType="begin"/>
      </w:r>
      <w:r w:rsidRPr="004229E3">
        <w:rPr>
          <w:sz w:val="22"/>
          <w:szCs w:val="22"/>
        </w:rPr>
        <w:instrText xml:space="preserve"> SEQ Rysunek \* ARABIC </w:instrText>
      </w:r>
      <w:r w:rsidRPr="004229E3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3</w:t>
      </w:r>
      <w:r w:rsidRPr="004229E3">
        <w:rPr>
          <w:sz w:val="22"/>
          <w:szCs w:val="22"/>
        </w:rPr>
        <w:fldChar w:fldCharType="end"/>
      </w:r>
      <w:r w:rsidRPr="004229E3">
        <w:rPr>
          <w:sz w:val="22"/>
          <w:szCs w:val="22"/>
          <w:lang w:val="pl-PL"/>
        </w:rPr>
        <w:t xml:space="preserve">. </w:t>
      </w:r>
      <w:r w:rsidRPr="004229E3">
        <w:rPr>
          <w:b w:val="0"/>
          <w:sz w:val="22"/>
          <w:szCs w:val="22"/>
          <w:lang w:val="pl-PL"/>
        </w:rPr>
        <w:t>Schemat celów operacyjnych 1. celu strategicznego</w:t>
      </w:r>
      <w:bookmarkEnd w:id="2"/>
    </w:p>
    <w:tbl>
      <w:tblPr>
        <w:tblW w:w="0" w:type="auto"/>
        <w:jc w:val="center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92D050"/>
        <w:tblLook w:val="00A0" w:firstRow="1" w:lastRow="0" w:firstColumn="1" w:lastColumn="0" w:noHBand="0" w:noVBand="0"/>
      </w:tblPr>
      <w:tblGrid>
        <w:gridCol w:w="696"/>
        <w:gridCol w:w="6237"/>
      </w:tblGrid>
      <w:tr w:rsidR="003E522E" w:rsidRPr="004229E3" w14:paraId="5B2ACC97" w14:textId="77777777" w:rsidTr="009B77A1">
        <w:trPr>
          <w:trHeight w:hRule="exact" w:val="397"/>
          <w:jc w:val="center"/>
        </w:trPr>
        <w:tc>
          <w:tcPr>
            <w:tcW w:w="693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6DA12C3B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 Inteligentna, zielona gospodarka regionalna</w:t>
            </w:r>
          </w:p>
        </w:tc>
      </w:tr>
      <w:tr w:rsidR="003E522E" w:rsidRPr="004229E3" w14:paraId="5EF4AC9D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13F7B21F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20790D01" w14:textId="77777777" w:rsidR="003E522E" w:rsidRPr="004229E3" w:rsidRDefault="003E522E" w:rsidP="009B77A1">
            <w:pPr>
              <w:spacing w:after="0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 xml:space="preserve">Wzmocnienie sektora B+R oraz mechanizmów transferu innowacji, szczególnie </w:t>
            </w:r>
            <w:r w:rsidRPr="004229E3">
              <w:rPr>
                <w:sz w:val="20"/>
                <w:szCs w:val="20"/>
              </w:rPr>
              <w:br/>
              <w:t>w obszarach regionalnych inteligentnych specjalizacji</w:t>
            </w:r>
          </w:p>
        </w:tc>
      </w:tr>
      <w:tr w:rsidR="003E522E" w:rsidRPr="004229E3" w14:paraId="4D6CD7A0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6B8EE749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644BDD12" w14:textId="77777777" w:rsidR="003E522E" w:rsidRPr="004229E3" w:rsidRDefault="003E522E" w:rsidP="009B77A1">
            <w:pPr>
              <w:spacing w:after="0"/>
              <w:jc w:val="left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Rozwój zielonej gospodarki, w tym energetyki przyjaznej środowisku</w:t>
            </w:r>
          </w:p>
        </w:tc>
      </w:tr>
      <w:tr w:rsidR="003E522E" w:rsidRPr="004229E3" w14:paraId="2DE59494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6398F807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7E701BC0" w14:textId="77777777" w:rsidR="003E522E" w:rsidRPr="004229E3" w:rsidRDefault="003E522E" w:rsidP="009B77A1">
            <w:pPr>
              <w:spacing w:after="0"/>
              <w:jc w:val="left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Wysoka jakość kształcenia oraz jego powiązanie z regionalnym rynkiem pracy</w:t>
            </w:r>
          </w:p>
        </w:tc>
      </w:tr>
      <w:tr w:rsidR="003E522E" w:rsidRPr="004229E3" w14:paraId="19330723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5B81C71C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1CC052BE" w14:textId="77777777" w:rsidR="003E522E" w:rsidRPr="004229E3" w:rsidRDefault="003E522E" w:rsidP="009B77A1">
            <w:pPr>
              <w:spacing w:after="0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Wzmocnienie atrakcyjności inwestycyjnej i powiązań gospodarczych regionu</w:t>
            </w:r>
          </w:p>
        </w:tc>
      </w:tr>
      <w:tr w:rsidR="003E522E" w:rsidRPr="004229E3" w14:paraId="2C6D991E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55A58176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49646B1A" w14:textId="77777777" w:rsidR="003E522E" w:rsidRPr="004229E3" w:rsidRDefault="003E522E" w:rsidP="009B77A1">
            <w:pPr>
              <w:spacing w:after="0"/>
              <w:jc w:val="left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Rozwój konkurencyjnego sektora przedsiębiorstw i wsparcie reindustrializacji</w:t>
            </w:r>
          </w:p>
        </w:tc>
      </w:tr>
      <w:tr w:rsidR="003E522E" w:rsidRPr="004229E3" w14:paraId="5693BD09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0397D11E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723E2EBB" w14:textId="77777777" w:rsidR="003E522E" w:rsidRPr="004229E3" w:rsidRDefault="003E522E" w:rsidP="009B77A1">
            <w:pPr>
              <w:spacing w:after="0"/>
              <w:jc w:val="left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Rozwój potencjału turystycznego</w:t>
            </w:r>
          </w:p>
        </w:tc>
      </w:tr>
      <w:tr w:rsidR="003E522E" w:rsidRPr="004229E3" w14:paraId="3CBE6CC2" w14:textId="77777777" w:rsidTr="009B77A1">
        <w:trPr>
          <w:trHeight w:val="397"/>
          <w:jc w:val="center"/>
        </w:trPr>
        <w:tc>
          <w:tcPr>
            <w:tcW w:w="6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7CC7DAE8" w14:textId="77777777" w:rsidR="003E522E" w:rsidRPr="004229E3" w:rsidRDefault="003E522E" w:rsidP="009B77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9E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2D050"/>
            <w:vAlign w:val="center"/>
          </w:tcPr>
          <w:p w14:paraId="1A25F1EA" w14:textId="77777777" w:rsidR="003E522E" w:rsidRPr="004229E3" w:rsidRDefault="003E522E" w:rsidP="009B77A1">
            <w:pPr>
              <w:spacing w:after="0"/>
              <w:jc w:val="left"/>
              <w:rPr>
                <w:sz w:val="20"/>
                <w:szCs w:val="20"/>
              </w:rPr>
            </w:pPr>
            <w:r w:rsidRPr="004229E3">
              <w:rPr>
                <w:sz w:val="20"/>
                <w:szCs w:val="20"/>
              </w:rPr>
              <w:t>Konkurencyjne i ekologiczne rolnictwo oraz rozwój produktów regionalnych</w:t>
            </w:r>
          </w:p>
        </w:tc>
      </w:tr>
    </w:tbl>
    <w:p w14:paraId="705F24A4" w14:textId="77777777" w:rsidR="003E522E" w:rsidRPr="004229E3" w:rsidRDefault="003E522E" w:rsidP="003E522E">
      <w:pPr>
        <w:pStyle w:val="Styl2"/>
        <w:rPr>
          <w:color w:val="auto"/>
        </w:rPr>
      </w:pPr>
      <w:bookmarkStart w:id="3" w:name="_Toc24628564"/>
      <w:bookmarkStart w:id="4" w:name="_Toc24629571"/>
      <w:bookmarkStart w:id="5" w:name="_Toc64550967"/>
      <w:r w:rsidRPr="004229E3">
        <w:rPr>
          <w:color w:val="auto"/>
        </w:rPr>
        <w:lastRenderedPageBreak/>
        <w:t>4.2 Kierunki interwencji (działań)</w:t>
      </w:r>
      <w:bookmarkEnd w:id="3"/>
      <w:bookmarkEnd w:id="4"/>
      <w:bookmarkEnd w:id="5"/>
    </w:p>
    <w:p w14:paraId="0D0DA370" w14:textId="77777777" w:rsidR="003E522E" w:rsidRPr="004229E3" w:rsidRDefault="003E522E" w:rsidP="003E522E">
      <w:pPr>
        <w:pStyle w:val="Legenda"/>
        <w:keepNext/>
        <w:jc w:val="left"/>
        <w:rPr>
          <w:sz w:val="22"/>
          <w:szCs w:val="22"/>
        </w:rPr>
      </w:pPr>
      <w:bookmarkStart w:id="6" w:name="_Toc64550208"/>
      <w:r w:rsidRPr="004229E3">
        <w:rPr>
          <w:sz w:val="22"/>
          <w:szCs w:val="22"/>
        </w:rPr>
        <w:t xml:space="preserve">Rysunek </w:t>
      </w:r>
      <w:r w:rsidRPr="004229E3">
        <w:rPr>
          <w:sz w:val="22"/>
          <w:szCs w:val="22"/>
        </w:rPr>
        <w:fldChar w:fldCharType="begin"/>
      </w:r>
      <w:r w:rsidRPr="004229E3">
        <w:rPr>
          <w:sz w:val="22"/>
          <w:szCs w:val="22"/>
        </w:rPr>
        <w:instrText xml:space="preserve"> SEQ Rysunek \* ARABIC </w:instrText>
      </w:r>
      <w:r w:rsidRPr="004229E3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4</w:t>
      </w:r>
      <w:r w:rsidRPr="004229E3">
        <w:rPr>
          <w:sz w:val="22"/>
          <w:szCs w:val="22"/>
        </w:rPr>
        <w:fldChar w:fldCharType="end"/>
      </w:r>
      <w:r w:rsidRPr="004229E3">
        <w:rPr>
          <w:sz w:val="22"/>
          <w:szCs w:val="22"/>
          <w:lang w:val="pl-PL"/>
        </w:rPr>
        <w:t xml:space="preserve">. </w:t>
      </w:r>
      <w:r w:rsidRPr="004229E3">
        <w:rPr>
          <w:b w:val="0"/>
          <w:sz w:val="22"/>
          <w:szCs w:val="22"/>
          <w:lang w:val="pl-PL"/>
        </w:rPr>
        <w:t>Schemat kierunków interwencji (działań) 1. celu strategicznego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225"/>
      </w:tblGrid>
      <w:tr w:rsidR="003E522E" w:rsidRPr="004229E3" w14:paraId="1B5A00A4" w14:textId="77777777" w:rsidTr="009B77A1">
        <w:trPr>
          <w:trHeight w:val="567"/>
        </w:trPr>
        <w:tc>
          <w:tcPr>
            <w:tcW w:w="92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92D050"/>
            <w:vAlign w:val="center"/>
          </w:tcPr>
          <w:p w14:paraId="5F43BCE7" w14:textId="77777777" w:rsidR="003E522E" w:rsidRPr="004229E3" w:rsidRDefault="003E522E" w:rsidP="009B77A1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4"/>
              </w:rPr>
            </w:pPr>
            <w:r w:rsidRPr="004229E3">
              <w:rPr>
                <w:rFonts w:eastAsia="Calibri"/>
                <w:b/>
                <w:sz w:val="22"/>
                <w:szCs w:val="24"/>
              </w:rPr>
              <w:t>Cel strategiczny 1.</w:t>
            </w:r>
          </w:p>
          <w:p w14:paraId="44B2D31E" w14:textId="77777777" w:rsidR="003E522E" w:rsidRPr="004229E3" w:rsidRDefault="003E522E" w:rsidP="009B77A1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4"/>
              </w:rPr>
            </w:pPr>
            <w:r w:rsidRPr="004229E3">
              <w:rPr>
                <w:rFonts w:eastAsia="Calibri"/>
                <w:b/>
                <w:sz w:val="22"/>
                <w:szCs w:val="24"/>
              </w:rPr>
              <w:t>Inteligentna, zielona gospodarka regionalna</w:t>
            </w:r>
          </w:p>
        </w:tc>
      </w:tr>
      <w:tr w:rsidR="003E522E" w:rsidRPr="004229E3" w14:paraId="6B9CD7F4" w14:textId="77777777" w:rsidTr="009B77A1">
        <w:trPr>
          <w:trHeight w:val="567"/>
        </w:trPr>
        <w:tc>
          <w:tcPr>
            <w:tcW w:w="928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6E3BC"/>
            <w:vAlign w:val="center"/>
          </w:tcPr>
          <w:p w14:paraId="66D745C7" w14:textId="77777777" w:rsidR="003E522E" w:rsidRPr="004229E3" w:rsidRDefault="003E522E" w:rsidP="009B77A1">
            <w:pPr>
              <w:spacing w:after="0" w:line="240" w:lineRule="auto"/>
              <w:rPr>
                <w:rFonts w:eastAsia="Calibri"/>
                <w:b/>
                <w:sz w:val="22"/>
                <w:szCs w:val="24"/>
              </w:rPr>
            </w:pPr>
            <w:r w:rsidRPr="004229E3">
              <w:rPr>
                <w:rFonts w:eastAsia="Calibri"/>
                <w:b/>
                <w:sz w:val="22"/>
                <w:szCs w:val="24"/>
                <w:u w:val="single"/>
              </w:rPr>
              <w:t>Cel operacyjny 1.1:</w:t>
            </w:r>
            <w:r w:rsidRPr="004229E3">
              <w:rPr>
                <w:rFonts w:eastAsia="Calibri"/>
                <w:b/>
                <w:sz w:val="22"/>
                <w:szCs w:val="24"/>
              </w:rPr>
              <w:t xml:space="preserve"> Wzmocnienie sektora B+R oraz mechanizmów transferu innowacji, szczególnie </w:t>
            </w:r>
            <w:r w:rsidRPr="004229E3">
              <w:rPr>
                <w:rFonts w:eastAsia="Calibri"/>
                <w:b/>
                <w:sz w:val="22"/>
                <w:szCs w:val="24"/>
              </w:rPr>
              <w:br/>
              <w:t>w obszarach regionalnych inteligentnych specjalizacji</w:t>
            </w:r>
          </w:p>
        </w:tc>
      </w:tr>
      <w:tr w:rsidR="003E522E" w:rsidRPr="004229E3" w14:paraId="7BBDA5ED" w14:textId="77777777" w:rsidTr="009B77A1">
        <w:trPr>
          <w:trHeight w:val="454"/>
        </w:trPr>
        <w:tc>
          <w:tcPr>
            <w:tcW w:w="185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15A4B9" w14:textId="77777777" w:rsidR="003E522E" w:rsidRPr="004229E3" w:rsidRDefault="003E522E" w:rsidP="009B77A1">
            <w:pPr>
              <w:spacing w:after="0" w:line="240" w:lineRule="auto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>Kierunki interwencji (działań) celu operacyjnego 1.1</w:t>
            </w: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85D3B6E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Rozwój regionalnych inteligentnych specjalizacji. </w:t>
            </w:r>
          </w:p>
        </w:tc>
      </w:tr>
      <w:tr w:rsidR="003E522E" w:rsidRPr="004229E3" w14:paraId="04CDE7CF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593736D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C00006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Wspieranie prac B+R, wdrażania innowacji oraz dążenie do zapewnienia </w:t>
            </w:r>
            <w:r w:rsidRPr="004229E3">
              <w:rPr>
                <w:rFonts w:eastAsia="Calibri"/>
                <w:sz w:val="22"/>
                <w:szCs w:val="24"/>
              </w:rPr>
              <w:br/>
              <w:t xml:space="preserve">i dywersyfikacji źródeł ich finansowania. </w:t>
            </w:r>
          </w:p>
        </w:tc>
      </w:tr>
      <w:tr w:rsidR="003E522E" w:rsidRPr="004229E3" w14:paraId="602C1325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A42ACF7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AF2657C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Tworzenie warunków do rozwoju sieciowej współpracy nauki z biznesem sprzyjającej komercjalizacji wiedzy. </w:t>
            </w:r>
          </w:p>
        </w:tc>
      </w:tr>
      <w:tr w:rsidR="003E522E" w:rsidRPr="004229E3" w14:paraId="6B5EF090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5E76F20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9EDBB0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>Wzmocnienie i rozwój infrastruktury na rzecz B+R+I.</w:t>
            </w:r>
          </w:p>
        </w:tc>
      </w:tr>
      <w:tr w:rsidR="003E522E" w:rsidRPr="004229E3" w14:paraId="2334DB07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43FA74B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901C024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>Internacjonalizacja ośrodków naukowo-badawczych i rozwój międzynarodowej współpracy.</w:t>
            </w:r>
          </w:p>
        </w:tc>
      </w:tr>
      <w:tr w:rsidR="003E522E" w:rsidRPr="004229E3" w14:paraId="6144BD10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DC36CFE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3910C3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>Wspieranie działalności parków naukowo-technologicznych, centrów transferu technologii i innych ośrodków B+R w regionie oraz inkubatorów przedsiębiorczości.</w:t>
            </w:r>
          </w:p>
        </w:tc>
      </w:tr>
      <w:tr w:rsidR="003E522E" w:rsidRPr="004229E3" w14:paraId="13625336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515FFCE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035861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08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Rozwój innowacyjnych technologii w przemyśle, w tym w sektorze kosmicznym oraz sektorze </w:t>
            </w:r>
            <w:proofErr w:type="spellStart"/>
            <w:r w:rsidRPr="004229E3">
              <w:rPr>
                <w:rFonts w:eastAsia="Calibri"/>
                <w:sz w:val="22"/>
                <w:szCs w:val="24"/>
              </w:rPr>
              <w:t>elektromobilności</w:t>
            </w:r>
            <w:proofErr w:type="spellEnd"/>
            <w:r w:rsidRPr="004229E3">
              <w:rPr>
                <w:rFonts w:eastAsia="Calibri"/>
                <w:sz w:val="22"/>
                <w:szCs w:val="24"/>
              </w:rPr>
              <w:t>.</w:t>
            </w:r>
          </w:p>
        </w:tc>
      </w:tr>
      <w:tr w:rsidR="003E522E" w:rsidRPr="004229E3" w14:paraId="356FBDB4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E1F0D84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56650F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Wzmacnianie kadry naukowej sektora B+R. </w:t>
            </w:r>
          </w:p>
        </w:tc>
      </w:tr>
      <w:tr w:rsidR="003E522E" w:rsidRPr="004229E3" w14:paraId="404F5CFB" w14:textId="77777777" w:rsidTr="009B77A1">
        <w:trPr>
          <w:trHeight w:val="454"/>
        </w:trPr>
        <w:tc>
          <w:tcPr>
            <w:tcW w:w="185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ACD6049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3F38558" w14:textId="77777777" w:rsidR="003E522E" w:rsidRPr="004229E3" w:rsidRDefault="003E522E" w:rsidP="003E522E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4229E3">
              <w:rPr>
                <w:rFonts w:eastAsia="Calibri"/>
                <w:sz w:val="22"/>
                <w:szCs w:val="24"/>
              </w:rPr>
              <w:t xml:space="preserve">Budowanie systemu wsparcia doradczego i transferu wiedzy w sektorze innowacyjnego przemysłu, budownictwa, rolnictwa i usług. </w:t>
            </w:r>
          </w:p>
        </w:tc>
      </w:tr>
    </w:tbl>
    <w:p w14:paraId="7CCD6B7B" w14:textId="2615C0C9" w:rsidR="00697346" w:rsidRDefault="00697346"/>
    <w:p w14:paraId="5136EEBC" w14:textId="77777777" w:rsidR="003E522E" w:rsidRPr="004229E3" w:rsidRDefault="003E522E" w:rsidP="003E522E">
      <w:pPr>
        <w:pStyle w:val="Legenda"/>
        <w:keepNext/>
        <w:jc w:val="left"/>
        <w:rPr>
          <w:sz w:val="22"/>
        </w:rPr>
      </w:pPr>
      <w:bookmarkStart w:id="7" w:name="_Toc64550183"/>
      <w:r w:rsidRPr="004229E3">
        <w:rPr>
          <w:sz w:val="22"/>
        </w:rPr>
        <w:t xml:space="preserve">Tabela </w:t>
      </w:r>
      <w:r w:rsidRPr="004229E3">
        <w:rPr>
          <w:sz w:val="22"/>
        </w:rPr>
        <w:fldChar w:fldCharType="begin"/>
      </w:r>
      <w:r w:rsidRPr="004229E3">
        <w:rPr>
          <w:sz w:val="22"/>
        </w:rPr>
        <w:instrText xml:space="preserve"> SEQ Tabela \* ARABIC </w:instrText>
      </w:r>
      <w:r w:rsidRPr="004229E3">
        <w:rPr>
          <w:sz w:val="22"/>
        </w:rPr>
        <w:fldChar w:fldCharType="separate"/>
      </w:r>
      <w:r>
        <w:rPr>
          <w:noProof/>
          <w:sz w:val="22"/>
        </w:rPr>
        <w:t>1</w:t>
      </w:r>
      <w:r w:rsidRPr="004229E3">
        <w:rPr>
          <w:sz w:val="22"/>
        </w:rPr>
        <w:fldChar w:fldCharType="end"/>
      </w:r>
      <w:r w:rsidRPr="004229E3">
        <w:rPr>
          <w:sz w:val="22"/>
          <w:lang w:val="pl-PL"/>
        </w:rPr>
        <w:t xml:space="preserve">. </w:t>
      </w:r>
      <w:r w:rsidRPr="004229E3">
        <w:rPr>
          <w:b w:val="0"/>
          <w:sz w:val="22"/>
          <w:lang w:val="pl-PL"/>
        </w:rPr>
        <w:t>Wykaz i podział przedsięwzięć strategicznych pod względem kompetencji samorządu województwa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530"/>
        <w:gridCol w:w="1530"/>
        <w:gridCol w:w="1349"/>
      </w:tblGrid>
      <w:tr w:rsidR="003E522E" w:rsidRPr="004229E3" w14:paraId="3533436D" w14:textId="77777777" w:rsidTr="009B77A1">
        <w:tc>
          <w:tcPr>
            <w:tcW w:w="4879" w:type="dxa"/>
            <w:shd w:val="clear" w:color="auto" w:fill="D9D9D9"/>
            <w:vAlign w:val="center"/>
          </w:tcPr>
          <w:p w14:paraId="437181E8" w14:textId="77777777" w:rsidR="003E522E" w:rsidRPr="004229E3" w:rsidRDefault="003E522E" w:rsidP="009B77A1">
            <w:pPr>
              <w:spacing w:after="0"/>
              <w:jc w:val="left"/>
              <w:rPr>
                <w:rFonts w:eastAsia="Calibri"/>
                <w:b/>
                <w:bCs/>
                <w:sz w:val="22"/>
                <w:lang w:eastAsia="pl-PL"/>
              </w:rPr>
            </w:pPr>
            <w:r w:rsidRPr="004229E3">
              <w:rPr>
                <w:rFonts w:eastAsia="Calibri"/>
                <w:b/>
                <w:bCs/>
                <w:sz w:val="22"/>
                <w:lang w:eastAsia="pl-PL"/>
              </w:rPr>
              <w:t>Nazwa przedsięwzięcia strategicznego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491726D" w14:textId="77777777" w:rsidR="003E522E" w:rsidRPr="004229E3" w:rsidRDefault="003E522E" w:rsidP="009B77A1">
            <w:pPr>
              <w:spacing w:after="0"/>
              <w:jc w:val="center"/>
              <w:rPr>
                <w:rFonts w:eastAsia="Calibri"/>
                <w:b/>
                <w:bCs/>
                <w:sz w:val="22"/>
                <w:lang w:eastAsia="pl-PL"/>
              </w:rPr>
            </w:pPr>
            <w:r w:rsidRPr="004229E3">
              <w:rPr>
                <w:rFonts w:eastAsia="Calibri"/>
                <w:b/>
                <w:bCs/>
                <w:sz w:val="22"/>
                <w:lang w:eastAsia="pl-PL"/>
              </w:rPr>
              <w:t>W kompetencjach samorządu województwa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ADFB4F0" w14:textId="77777777" w:rsidR="003E522E" w:rsidRPr="004229E3" w:rsidRDefault="003E522E" w:rsidP="009B77A1">
            <w:pPr>
              <w:spacing w:after="0"/>
              <w:jc w:val="center"/>
              <w:rPr>
                <w:rFonts w:eastAsia="Calibri"/>
                <w:b/>
                <w:bCs/>
                <w:sz w:val="22"/>
                <w:lang w:eastAsia="pl-PL"/>
              </w:rPr>
            </w:pPr>
            <w:r w:rsidRPr="004229E3">
              <w:rPr>
                <w:rFonts w:eastAsia="Calibri"/>
                <w:b/>
                <w:bCs/>
                <w:sz w:val="22"/>
                <w:lang w:eastAsia="pl-PL"/>
              </w:rPr>
              <w:t>Poza kompetencjami samorządu województwa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432D200C" w14:textId="77777777" w:rsidR="003E522E" w:rsidRPr="004229E3" w:rsidRDefault="003E522E" w:rsidP="009B77A1">
            <w:pPr>
              <w:spacing w:after="0"/>
              <w:jc w:val="center"/>
              <w:rPr>
                <w:rFonts w:eastAsia="Calibri"/>
                <w:b/>
                <w:bCs/>
                <w:sz w:val="22"/>
                <w:lang w:eastAsia="pl-PL"/>
              </w:rPr>
            </w:pPr>
            <w:r w:rsidRPr="004229E3">
              <w:rPr>
                <w:rFonts w:eastAsia="Calibri"/>
                <w:b/>
                <w:bCs/>
                <w:sz w:val="22"/>
                <w:lang w:eastAsia="pl-PL"/>
              </w:rPr>
              <w:t>Kompetencje mieszane</w:t>
            </w:r>
          </w:p>
        </w:tc>
      </w:tr>
      <w:tr w:rsidR="003E522E" w:rsidRPr="004229E3" w14:paraId="64CA03F6" w14:textId="77777777" w:rsidTr="009B77A1">
        <w:trPr>
          <w:trHeight w:val="454"/>
        </w:trPr>
        <w:tc>
          <w:tcPr>
            <w:tcW w:w="9288" w:type="dxa"/>
            <w:gridSpan w:val="4"/>
            <w:shd w:val="clear" w:color="auto" w:fill="C5E0B3"/>
            <w:vAlign w:val="center"/>
          </w:tcPr>
          <w:p w14:paraId="0AAE88FD" w14:textId="77777777" w:rsidR="003E522E" w:rsidRPr="004229E3" w:rsidRDefault="003E522E" w:rsidP="009B77A1">
            <w:pPr>
              <w:spacing w:after="0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b/>
                <w:sz w:val="22"/>
                <w:lang w:eastAsia="pl-PL"/>
              </w:rPr>
              <w:t>Cel strategiczny 1. Inteligentna, zielona gospodarka regionalna</w:t>
            </w:r>
          </w:p>
        </w:tc>
      </w:tr>
      <w:tr w:rsidR="003E522E" w:rsidRPr="004229E3" w14:paraId="750AAE6F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3506DB18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 xml:space="preserve">Rozwój oferty parków naukowo-technologicznych </w:t>
            </w:r>
            <w:r w:rsidRPr="004229E3">
              <w:rPr>
                <w:rFonts w:eastAsia="Calibri"/>
                <w:sz w:val="22"/>
                <w:lang w:eastAsia="pl-PL"/>
              </w:rPr>
              <w:br/>
              <w:t>i przemysłowych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631002AE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43BAAE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14:paraId="595D8D83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0C333E7A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35D2BBFB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 xml:space="preserve">Budowa i rozwój działalności Parku Technologii Kosmicznych 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0825623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2F6145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BB364EA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3173315E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24F07D27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Centrum Doradztwa Patentowego – Lubuski Fundusz Patentowy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38FE08CD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4A46CD4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2EFB804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2E274FE3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2B39BAAB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Lubuski System Innowacyjnych Start-</w:t>
            </w:r>
            <w:proofErr w:type="spellStart"/>
            <w:r w:rsidRPr="004229E3">
              <w:rPr>
                <w:rFonts w:eastAsia="Calibri"/>
                <w:sz w:val="22"/>
                <w:lang w:eastAsia="pl-PL"/>
              </w:rPr>
              <w:t>upów</w:t>
            </w:r>
            <w:proofErr w:type="spellEnd"/>
          </w:p>
        </w:tc>
        <w:tc>
          <w:tcPr>
            <w:tcW w:w="1530" w:type="dxa"/>
            <w:shd w:val="clear" w:color="auto" w:fill="D9D9D9"/>
            <w:vAlign w:val="center"/>
          </w:tcPr>
          <w:p w14:paraId="60BAEB97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DECE5E8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43CDE43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33ED5461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35307D00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Ograniczenie niskiej emisji w województwie lubuskim - nowoczesne źródła ciepła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038320F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E520C0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14:paraId="3F261B2D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1E4822EE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32CAEE92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 w:cs="Arial"/>
                <w:sz w:val="22"/>
                <w:lang w:eastAsia="pl-PL"/>
              </w:rPr>
              <w:t xml:space="preserve">Zakład termicznego przekształcania odpadów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2F2F02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14:paraId="632B1CA4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7F6B345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271CE8FC" w14:textId="77777777" w:rsidTr="009B77A1">
        <w:trPr>
          <w:trHeight w:val="454"/>
        </w:trPr>
        <w:tc>
          <w:tcPr>
            <w:tcW w:w="4879" w:type="dxa"/>
            <w:vAlign w:val="center"/>
          </w:tcPr>
          <w:p w14:paraId="5070B52A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 xml:space="preserve">Lubuska Szkoła Przyszłości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EE2E8A6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3203DA5C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14:paraId="58DCBBC9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7EEA1745" w14:textId="77777777" w:rsidTr="009B77A1">
        <w:trPr>
          <w:trHeight w:val="454"/>
        </w:trPr>
        <w:tc>
          <w:tcPr>
            <w:tcW w:w="4879" w:type="dxa"/>
            <w:vAlign w:val="center"/>
          </w:tcPr>
          <w:p w14:paraId="1B22D2A8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Stypendia dla studentów kierunku lekarskiego, pielęgniarstwa i/lub położnictwa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1F838F8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14:paraId="4AAE55F0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D9D9D9"/>
            <w:vAlign w:val="center"/>
          </w:tcPr>
          <w:p w14:paraId="1D23BBD8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007CD90F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758BAF0B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Eksploatacja złóż miedzi na terenie województwa lubuskiego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C7384E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14:paraId="17C7ACD4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23E0619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6C1DF644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509FBE1C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</w:rPr>
              <w:lastRenderedPageBreak/>
              <w:t xml:space="preserve">Smart </w:t>
            </w:r>
            <w:proofErr w:type="spellStart"/>
            <w:r w:rsidRPr="004229E3">
              <w:rPr>
                <w:rFonts w:eastAsia="Calibri"/>
                <w:sz w:val="22"/>
              </w:rPr>
              <w:t>village</w:t>
            </w:r>
            <w:proofErr w:type="spellEnd"/>
            <w:r w:rsidRPr="004229E3">
              <w:rPr>
                <w:rFonts w:eastAsia="Calibri"/>
                <w:sz w:val="22"/>
              </w:rPr>
              <w:t xml:space="preserve"> - Inteligentna wioska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B4D11B7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6AD5ABD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37F0CE1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566ACF7B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547D8982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4229E3">
              <w:rPr>
                <w:rFonts w:eastAsia="Calibri"/>
                <w:sz w:val="22"/>
                <w:lang w:eastAsia="pl-PL"/>
              </w:rPr>
              <w:t>Systemowe wsparcie produktów regionalnych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F113556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3820C7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E4E2193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  <w:tr w:rsidR="003E522E" w:rsidRPr="004229E3" w14:paraId="61D6061D" w14:textId="77777777" w:rsidTr="009B77A1">
        <w:trPr>
          <w:trHeight w:val="454"/>
        </w:trPr>
        <w:tc>
          <w:tcPr>
            <w:tcW w:w="4879" w:type="dxa"/>
            <w:shd w:val="clear" w:color="auto" w:fill="auto"/>
            <w:vAlign w:val="center"/>
          </w:tcPr>
          <w:p w14:paraId="5AA692AD" w14:textId="77777777" w:rsidR="003E522E" w:rsidRPr="004229E3" w:rsidRDefault="003E522E" w:rsidP="003E522E">
            <w:pPr>
              <w:numPr>
                <w:ilvl w:val="0"/>
                <w:numId w:val="2"/>
              </w:numPr>
              <w:spacing w:after="0" w:line="240" w:lineRule="auto"/>
              <w:ind w:left="451"/>
              <w:jc w:val="left"/>
              <w:rPr>
                <w:rFonts w:eastAsia="Calibri"/>
                <w:sz w:val="22"/>
                <w:lang w:eastAsia="pl-PL"/>
              </w:rPr>
            </w:pPr>
            <w:r w:rsidRPr="006F5F73">
              <w:rPr>
                <w:rFonts w:eastAsia="Calibri"/>
                <w:sz w:val="22"/>
                <w:lang w:eastAsia="pl-PL"/>
              </w:rPr>
              <w:t>Budowa wzorcowego pasywnego budynku biurowego wraz z Inkubatorem Przedsiębiorczości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355CD64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DB5474D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3E7D23DF" w14:textId="77777777" w:rsidR="003E522E" w:rsidRPr="004229E3" w:rsidRDefault="003E522E" w:rsidP="009B77A1">
            <w:pPr>
              <w:spacing w:after="0" w:line="240" w:lineRule="auto"/>
              <w:jc w:val="left"/>
              <w:rPr>
                <w:rFonts w:eastAsia="Calibri"/>
                <w:sz w:val="22"/>
                <w:lang w:eastAsia="pl-PL"/>
              </w:rPr>
            </w:pPr>
          </w:p>
        </w:tc>
      </w:tr>
    </w:tbl>
    <w:p w14:paraId="2B919724" w14:textId="6858B11B" w:rsidR="003E522E" w:rsidRDefault="003E522E"/>
    <w:p w14:paraId="34BC377C" w14:textId="77777777" w:rsidR="003E522E" w:rsidRPr="003F47B9" w:rsidRDefault="003E522E" w:rsidP="003E522E">
      <w:pPr>
        <w:pStyle w:val="Nagwek1"/>
        <w:rPr>
          <w:rFonts w:ascii="Arial Narrow" w:hAnsi="Arial Narrow" w:cs="Times New Roman"/>
          <w:bCs/>
          <w:sz w:val="28"/>
          <w:szCs w:val="28"/>
        </w:rPr>
      </w:pPr>
      <w:bookmarkStart w:id="8" w:name="_Toc64552629"/>
      <w:r w:rsidRPr="003F47B9">
        <w:rPr>
          <w:rStyle w:val="Pogrubienie"/>
          <w:rFonts w:ascii="Arial Narrow" w:hAnsi="Arial Narrow"/>
          <w:b w:val="0"/>
          <w:sz w:val="28"/>
          <w:szCs w:val="28"/>
        </w:rPr>
        <w:t>III. PRZEDSIĘWZIECIA STRATEGICZNE KLUCZOWE DLA REALIZACJI CELÓW STRATEGII ROZWOJU WOJEWÓDZTWA LUBUSKIEGO 2030</w:t>
      </w:r>
      <w:bookmarkEnd w:id="8"/>
    </w:p>
    <w:p w14:paraId="33A953C8" w14:textId="77777777" w:rsidR="003E522E" w:rsidRPr="003F47B9" w:rsidRDefault="003E522E" w:rsidP="003E522E">
      <w:pPr>
        <w:pStyle w:val="Bezodstpw"/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9072"/>
      </w:tblGrid>
      <w:tr w:rsidR="003E522E" w:rsidRPr="003F47B9" w14:paraId="553E415C" w14:textId="77777777" w:rsidTr="009B77A1">
        <w:trPr>
          <w:trHeight w:val="567"/>
        </w:trPr>
        <w:tc>
          <w:tcPr>
            <w:tcW w:w="9287" w:type="dxa"/>
            <w:shd w:val="clear" w:color="auto" w:fill="C2D69B"/>
            <w:vAlign w:val="center"/>
          </w:tcPr>
          <w:p w14:paraId="0200014B" w14:textId="77777777" w:rsidR="003E522E" w:rsidRPr="003F47B9" w:rsidRDefault="003E522E" w:rsidP="009B77A1">
            <w:pPr>
              <w:pStyle w:val="Bezodstpw"/>
              <w:spacing w:line="276" w:lineRule="auto"/>
              <w:rPr>
                <w:rFonts w:ascii="Arial Narrow" w:eastAsia="Calibri" w:hAnsi="Arial Narrow"/>
                <w:b/>
              </w:rPr>
            </w:pPr>
            <w:r w:rsidRPr="003F47B9">
              <w:rPr>
                <w:rFonts w:ascii="Arial Narrow" w:eastAsia="Calibri" w:hAnsi="Arial Narrow"/>
                <w:b/>
              </w:rPr>
              <w:t>Cel strategiczny 1. Inteligentna, zielona gospodarka regionalna</w:t>
            </w:r>
          </w:p>
        </w:tc>
      </w:tr>
    </w:tbl>
    <w:p w14:paraId="505E3938" w14:textId="77777777" w:rsidR="003E522E" w:rsidRPr="003F47B9" w:rsidRDefault="003E522E" w:rsidP="003E522E">
      <w:pPr>
        <w:pStyle w:val="Bezodstpw"/>
        <w:spacing w:line="276" w:lineRule="auto"/>
        <w:jc w:val="both"/>
        <w:rPr>
          <w:rFonts w:ascii="Arial Narrow" w:hAnsi="Arial Narrow"/>
        </w:rPr>
      </w:pPr>
    </w:p>
    <w:p w14:paraId="6E21108C" w14:textId="77777777" w:rsidR="003E522E" w:rsidRPr="003F47B9" w:rsidRDefault="003E522E" w:rsidP="003E522E">
      <w:pPr>
        <w:pStyle w:val="Bezodstpw"/>
        <w:tabs>
          <w:tab w:val="left" w:pos="426"/>
        </w:tabs>
        <w:spacing w:line="276" w:lineRule="auto"/>
        <w:ind w:left="426"/>
        <w:jc w:val="both"/>
        <w:rPr>
          <w:rFonts w:ascii="Arial Narrow" w:hAnsi="Arial Narrow"/>
          <w:b/>
        </w:rPr>
      </w:pPr>
      <w:r w:rsidRPr="003F47B9">
        <w:rPr>
          <w:rFonts w:ascii="Arial Narrow" w:hAnsi="Arial Narrow"/>
          <w:b/>
        </w:rPr>
        <w:t xml:space="preserve">Budowa i rozwój działalności Parku Technologii Kosmicznych </w:t>
      </w:r>
      <w:r w:rsidRPr="003F47B9">
        <w:rPr>
          <w:rFonts w:ascii="Arial Narrow" w:hAnsi="Arial Narrow"/>
          <w:b/>
        </w:rPr>
        <w:tab/>
      </w:r>
    </w:p>
    <w:p w14:paraId="0584B4F7" w14:textId="77777777" w:rsidR="003E522E" w:rsidRPr="003F47B9" w:rsidRDefault="003E522E" w:rsidP="003E522E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</w:rPr>
      </w:pPr>
      <w:r w:rsidRPr="003F47B9">
        <w:rPr>
          <w:rFonts w:ascii="Arial Narrow" w:hAnsi="Arial Narrow"/>
        </w:rPr>
        <w:tab/>
        <w:t>Dokończenie budowy Parku Technologii Kosmicznych (PTK) w Zielonej Górze oraz jego rozwój w celu stworzenia w województwie lubuskim wiodącego ośrodka przemysłowo-badawczego inżynierii kosmicznej i satelitarnej oraz innowacyjnego przemysłu. Projekt zakłada również wyposażenie PTK, a w kolejnych latach m.in.: unowocześnianie infrastruktury laboratoryjnej, komercjalizację badań, inkubowanie innowacyjnych firm.</w:t>
      </w:r>
    </w:p>
    <w:p w14:paraId="2D8F41EF" w14:textId="77777777" w:rsidR="003E522E" w:rsidRDefault="003E522E"/>
    <w:sectPr w:rsidR="003E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598C"/>
    <w:multiLevelType w:val="hybridMultilevel"/>
    <w:tmpl w:val="31A6211A"/>
    <w:lvl w:ilvl="0" w:tplc="3CB6941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1559"/>
    <w:multiLevelType w:val="hybridMultilevel"/>
    <w:tmpl w:val="65CA7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D4E61"/>
    <w:multiLevelType w:val="hybridMultilevel"/>
    <w:tmpl w:val="D42089F6"/>
    <w:lvl w:ilvl="0" w:tplc="61B031A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361D"/>
    <w:multiLevelType w:val="hybridMultilevel"/>
    <w:tmpl w:val="570AA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81080">
    <w:abstractNumId w:val="0"/>
  </w:num>
  <w:num w:numId="2" w16cid:durableId="1961720836">
    <w:abstractNumId w:val="1"/>
  </w:num>
  <w:num w:numId="3" w16cid:durableId="1790856231">
    <w:abstractNumId w:val="2"/>
  </w:num>
  <w:num w:numId="4" w16cid:durableId="122895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2E"/>
    <w:rsid w:val="003E522E"/>
    <w:rsid w:val="006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4F9A"/>
  <w15:chartTrackingRefBased/>
  <w15:docId w15:val="{A6E48670-3ADE-4D6A-839A-C433FB21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22E"/>
    <w:pPr>
      <w:spacing w:after="200" w:line="276" w:lineRule="auto"/>
      <w:jc w:val="both"/>
    </w:pPr>
    <w:rPr>
      <w:rFonts w:ascii="Arial Narrow" w:eastAsia="Times New Roman" w:hAnsi="Arial Narrow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link w:val="LegendaZnak"/>
    <w:uiPriority w:val="35"/>
    <w:qFormat/>
    <w:rsid w:val="003E522E"/>
    <w:rPr>
      <w:b/>
      <w:bCs/>
      <w:sz w:val="18"/>
      <w:szCs w:val="20"/>
      <w:lang w:val="x-none"/>
    </w:rPr>
  </w:style>
  <w:style w:type="character" w:customStyle="1" w:styleId="LegendaZnak">
    <w:name w:val="Legenda Znak"/>
    <w:link w:val="Legenda"/>
    <w:uiPriority w:val="35"/>
    <w:rsid w:val="003E522E"/>
    <w:rPr>
      <w:rFonts w:ascii="Arial Narrow" w:eastAsia="Times New Roman" w:hAnsi="Arial Narrow" w:cs="Times New Roman"/>
      <w:b/>
      <w:bCs/>
      <w:sz w:val="18"/>
      <w:szCs w:val="20"/>
      <w:lang w:val="x-none"/>
    </w:rPr>
  </w:style>
  <w:style w:type="paragraph" w:customStyle="1" w:styleId="Styl1">
    <w:name w:val="Styl1"/>
    <w:basedOn w:val="Nagwek1"/>
    <w:link w:val="Styl1Znak"/>
    <w:qFormat/>
    <w:rsid w:val="003E522E"/>
    <w:pPr>
      <w:keepLines w:val="0"/>
      <w:spacing w:before="0" w:after="200"/>
    </w:pPr>
    <w:rPr>
      <w:rFonts w:ascii="Arial Narrow" w:eastAsia="Times New Roman" w:hAnsi="Arial Narrow" w:cs="Arial"/>
      <w:b/>
      <w:bCs/>
      <w:color w:val="auto"/>
      <w:kern w:val="32"/>
      <w:sz w:val="28"/>
      <w:szCs w:val="28"/>
    </w:rPr>
  </w:style>
  <w:style w:type="paragraph" w:customStyle="1" w:styleId="Styl2">
    <w:name w:val="Styl2"/>
    <w:basedOn w:val="Normalny"/>
    <w:link w:val="Styl2Znak"/>
    <w:qFormat/>
    <w:rsid w:val="003E522E"/>
    <w:pPr>
      <w:keepNext/>
      <w:keepLines/>
      <w:spacing w:after="120"/>
      <w:jc w:val="left"/>
      <w:outlineLvl w:val="0"/>
    </w:pPr>
    <w:rPr>
      <w:rFonts w:eastAsia="Calibri"/>
      <w:b/>
      <w:bCs/>
      <w:color w:val="000000"/>
      <w:szCs w:val="24"/>
      <w:lang w:val="x-none" w:eastAsia="x-none"/>
    </w:rPr>
  </w:style>
  <w:style w:type="character" w:customStyle="1" w:styleId="Styl1Znak">
    <w:name w:val="Styl1 Znak"/>
    <w:link w:val="Styl1"/>
    <w:rsid w:val="003E522E"/>
    <w:rPr>
      <w:rFonts w:ascii="Arial Narrow" w:eastAsia="Times New Roman" w:hAnsi="Arial Narrow" w:cs="Arial"/>
      <w:b/>
      <w:bCs/>
      <w:kern w:val="32"/>
      <w:sz w:val="28"/>
      <w:szCs w:val="28"/>
    </w:rPr>
  </w:style>
  <w:style w:type="character" w:customStyle="1" w:styleId="Styl2Znak">
    <w:name w:val="Styl2 Znak"/>
    <w:link w:val="Styl2"/>
    <w:rsid w:val="003E522E"/>
    <w:rPr>
      <w:rFonts w:ascii="Arial Narrow" w:eastAsia="Calibri" w:hAnsi="Arial Narrow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3E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uiPriority w:val="22"/>
    <w:qFormat/>
    <w:rsid w:val="003E522E"/>
    <w:rPr>
      <w:rFonts w:cs="Times New Roman"/>
      <w:b/>
      <w:bCs/>
    </w:rPr>
  </w:style>
  <w:style w:type="paragraph" w:styleId="Bezodstpw">
    <w:name w:val="No Spacing"/>
    <w:link w:val="BezodstpwZnak"/>
    <w:uiPriority w:val="1"/>
    <w:qFormat/>
    <w:rsid w:val="003E522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E522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Flakowski</dc:creator>
  <cp:keywords/>
  <dc:description/>
  <cp:lastModifiedBy>Jarosław Flakowski</cp:lastModifiedBy>
  <cp:revision>1</cp:revision>
  <dcterms:created xsi:type="dcterms:W3CDTF">2022-07-13T14:24:00Z</dcterms:created>
  <dcterms:modified xsi:type="dcterms:W3CDTF">2022-07-13T14:27:00Z</dcterms:modified>
</cp:coreProperties>
</file>