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238A68BF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</w:t>
      </w:r>
      <w:bookmarkStart w:id="0" w:name="_Hlk520293806"/>
      <w:r w:rsidR="00C11C5D" w:rsidRPr="00C11C5D">
        <w:rPr>
          <w:rFonts w:ascii="Arial" w:hAnsi="Arial" w:cs="Arial"/>
          <w:b/>
          <w:bCs/>
        </w:rPr>
        <w:t>otwartego konkursu ofert na realizację  w formie wsparcia w 2024 roku zadania publicznego o charakterze inwestycyjnym w ramach Programu inwestycyjnego pn. „Lubuska Baza Sportowo-Rekreacyjna”</w:t>
      </w:r>
      <w:r w:rsidRPr="00C11C5D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1D2A33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241DE4">
        <w:trPr>
          <w:trHeight w:hRule="exact" w:val="11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241DE4">
        <w:trPr>
          <w:trHeight w:hRule="exact" w:val="11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52AD7DC1" w14:textId="77777777" w:rsidR="00241DE4" w:rsidRDefault="00241DE4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3E17101E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ych </w:t>
      </w:r>
      <w:r w:rsidR="00E45D0A">
        <w:rPr>
          <w:rFonts w:ascii="Arial" w:eastAsia="Times New Roman" w:hAnsi="Arial" w:cs="Arial"/>
          <w:sz w:val="18"/>
          <w:szCs w:val="18"/>
          <w:lang w:eastAsia="pl-PL"/>
        </w:rPr>
        <w:t xml:space="preserve">Województwa Lubuskiego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-</w:t>
      </w:r>
      <w:bookmarkEnd w:id="1"/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art. 6 ust. 1 lit. a ogólnego rozporządzenia o ochronie danych,</w:t>
      </w:r>
    </w:p>
    <w:p w14:paraId="675AB93D" w14:textId="3A9A6DFD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Województwa Lubuskiego w obszarze kultury fizycznej,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1D2A33"/>
    <w:rsid w:val="00241DE4"/>
    <w:rsid w:val="005A0DDA"/>
    <w:rsid w:val="005A7C67"/>
    <w:rsid w:val="0064287A"/>
    <w:rsid w:val="006503B8"/>
    <w:rsid w:val="007203FF"/>
    <w:rsid w:val="00846999"/>
    <w:rsid w:val="00990AC0"/>
    <w:rsid w:val="00C11C5D"/>
    <w:rsid w:val="00C50DB5"/>
    <w:rsid w:val="00E45D0A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Hajduk Joanna</cp:lastModifiedBy>
  <cp:revision>2</cp:revision>
  <cp:lastPrinted>2023-05-22T08:08:00Z</cp:lastPrinted>
  <dcterms:created xsi:type="dcterms:W3CDTF">2024-01-11T08:33:00Z</dcterms:created>
  <dcterms:modified xsi:type="dcterms:W3CDTF">2024-01-11T08:33:00Z</dcterms:modified>
</cp:coreProperties>
</file>